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48"/>
          <w:szCs w:val="48"/>
        </w:rPr>
        <w:t xml:space="preserve">Atlas — Fused and Composite Layers</w:t>
      </w:r>
    </w:p>
    <w:p>
      <w:pPr>
        <w:spacing w:before="0" w:after="60"/>
      </w:pPr>
      <w:r>
        <w:rPr>
          <w:rFonts w:ascii="Arial" w:cs="Arial" w:eastAsia="Arial" w:hAnsi="Arial"/>
          <w:color w:val="444444"/>
          <w:sz w:val="24"/>
          <w:szCs w:val="24"/>
        </w:rPr>
        <w:t xml:space="preserve">Multi-Source Fusion · Enriched Features · Risk Composites · Passability</w:t>
      </w:r>
    </w:p>
    <w:p>
      <w:pPr>
        <w:spacing w:before="0" w:after="160"/>
      </w:pPr>
      <w:r>
        <w:rPr>
          <w:rFonts w:ascii="Arial" w:cs="Arial" w:eastAsia="Arial" w:hAnsi="Arial"/>
          <w:b/>
          <w:bCs/>
          <w:color w:val="2E7D32"/>
          <w:sz w:val="20"/>
          <w:szCs w:val="20"/>
        </w:rPr>
        <w:t xml:space="preserve">Status: Fully Specced</w:t>
      </w:r>
    </w:p>
    <w:p>
      <w:pPr>
        <w:pBdr>
          <w:bottom w:val="single" w:color="1565C0" w:sz="6" w:space="1"/>
        </w:pBdr>
        <w:spacing w:before="0" w:after="200"/>
      </w:pPr>
      <w:r>
        <w:t xml:space="preserve"/>
      </w:r>
    </w:p>
    <w:p>
      <w:pPr>
        <w:spacing w:before="60" w:after="60"/>
      </w:pPr>
      <w:r>
        <w:rPr>
          <w:rFonts w:ascii="Arial" w:cs="Arial" w:eastAsia="Arial" w:hAnsi="Arial"/>
          <w:sz w:val="20"/>
          <w:szCs w:val="20"/>
        </w:rPr>
        <w:t xml:space="preserve">Fused layers combine independent source estimates into single authoritative layers using confidence-weighted fusion. The principle: never merge sources prematurely — maintain separate estimation layers so fusion can be done intelligently. The fused output carries a confidence score and records which sources contributed.</w:t>
      </w:r>
    </w:p>
    <w:p>
      <w:pPr>
        <w:spacing w:before="80" w:after="80"/>
      </w:pPr>
      <w:r>
        <w:t xml:space="preserve"/>
      </w:r>
    </w:p>
    <w:p>
      <w:pPr>
        <w:pStyle w:val="Heading1"/>
        <w:spacing w:before="280" w:after="140"/>
      </w:pPr>
      <w:r>
        <w:rPr>
          <w:rFonts w:ascii="Arial" w:cs="Arial" w:eastAsia="Arial" w:hAnsi="Arial"/>
          <w:b/>
          <w:bCs/>
          <w:sz w:val="32"/>
          <w:szCs w:val="32"/>
        </w:rPr>
        <w:t xml:space="preserve">1. Fused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buildings_fused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GeoParquet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Open Buildings, Microsoft Footprints, Overture Maps, LiDAR building centroids, NAIP buildings, Street View facade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Fusion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Spatial clustering of overlapping detections → highest-confidence geometry selected as canonical footprint → attributes merged by source reliability. Where sources disagree on location, confidence score reflects disagreement. LiDAR height overrides satellite-derived when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attributes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footprint_polygon, height_m (source: lidar &gt; overture &gt; naip_shadow &gt; estimate), floors_count, construction_type (wood_frame/masonry/concrete/metal/mobile_home), roof_type (flat/gable/hip/complex), roof_material (shingle/metal/tile/flat_membrane), facade_material, year_built (from Census ACS vintage), use_type (residential/commercial/industrial/institutional), has_solar_panels, attached_combustibles (deck/fence), vent_locations, confidence_overall, sources_contributing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vulnerability per structure. Tornado shelter guidance by construction type. Hurricane wind vulnerability. Flood first-floor elevation. Vertical evacuation height for tsunami. Every structure-level hazard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Buildings layer with clickable attributes in detail view</w:t>
            </w:r>
          </w:p>
        </w:tc>
      </w:tr>
    </w:tbl>
    <w:p>
      <w:pPr>
        <w:spacing w:before="80" w:after="80"/>
      </w:pPr>
      <w:r>
        <w:t xml:space="preserve"/>
      </w:r>
    </w:p>
    <w:p>
      <w:pPr>
        <w:pStyle w:val="Heading1"/>
        <w:spacing w:before="280" w:after="140"/>
      </w:pPr>
      <w:r>
        <w:rPr>
          <w:rFonts w:ascii="Arial" w:cs="Arial" w:eastAsia="Arial" w:hAnsi="Arial"/>
          <w:b/>
          <w:bCs/>
          <w:sz w:val="32"/>
          <w:szCs w:val="32"/>
        </w:rPr>
        <w:t xml:space="preserve">2. Fused Roads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roads_fused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lines GeoParquet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OSM road network, LiDAR measured widths, Mapillary surface condition, DOT data (speed, closures), vehicle passability matrix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attributes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road_class, surface_type (paved_asphalt/paved_concrete/gravel/dirt/sand), lanes, width_m (LiDAR-measured), max_speed, passability_2wd (bool), passability_4wd (bool), passability_foot (bool), bridge_flag (with NBI condition rating), tunnel_flag, hazard_exposure (wildfire_corridor/flood_prone/landslide_path/ice_prone), is_evacuation_route (official EM designation)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 routing engine primary graph. Edge weights combine travel time + hazard exposure + vehicle passability + real-time closure status. Road width for vehicle type filtering. Hazard exposure tags enable proactive route avoidance before road officially closes.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Roads layer with condition indicators during events</w:t>
            </w:r>
          </w:p>
        </w:tc>
      </w:tr>
    </w:tbl>
    <w:p>
      <w:pPr>
        <w:spacing w:before="80" w:after="80"/>
      </w:pPr>
      <w:r>
        <w:t xml:space="preserve"/>
      </w:r>
    </w:p>
    <w:p>
      <w:pPr>
        <w:pStyle w:val="Heading1"/>
        <w:spacing w:before="280" w:after="140"/>
      </w:pPr>
      <w:r>
        <w:rPr>
          <w:rFonts w:ascii="Arial" w:cs="Arial" w:eastAsia="Arial" w:hAnsi="Arial"/>
          <w:b/>
          <w:bCs/>
          <w:sz w:val="32"/>
          <w:szCs w:val="32"/>
        </w:rPr>
        <w:t xml:space="preserve">3. Fused Vegetation / Fuel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vegetation_fuel_fused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 Vector hybrid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LANDFIRE fuel models (30m coarse), LiDAR vegetation strata, NAIP vegetation classification, Mapillary ornamental vegetation, NDVI (live fuel moisture proxy)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attributes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fuel_model (Scott &amp; Burgan class), individual_tree_locations (from LiDAR), crown_height_m, canopy_cover_fraction, bridge_fuel_continuity_score (0–1: how connected is the fuel from ground to canopy and structure to structure), ladder_fuel_zone (bool), transition_fuel_zone (bool: ornamental/fence connecting wildland to residential), live_fuel_moisture_proxy (NDVI)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insight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ELMFIRE uses 30m LANDFIRE — cannot represent individual trees, fences, hedges, or ornamental vegetation. The bridge fuel connectivity graph built at parcel level is Beacon's core WUI differentiator. Structure-to-structure fire spread can propagate even when wildland fire is 100m away via fence → hedge → ornamental shrub → deck chains.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fire model input</w:t>
            </w:r>
          </w:p>
        </w:tc>
      </w:tr>
    </w:tbl>
    <w:p>
      <w:pPr>
        <w:spacing w:before="80" w:after="80"/>
      </w:pPr>
      <w:r>
        <w:t xml:space="preserve"/>
      </w:r>
    </w:p>
    <w:p>
      <w:pPr>
        <w:pStyle w:val="Heading1"/>
        <w:spacing w:before="280" w:after="140"/>
      </w:pPr>
      <w:r>
        <w:rPr>
          <w:rFonts w:ascii="Arial" w:cs="Arial" w:eastAsia="Arial" w:hAnsi="Arial"/>
          <w:b/>
          <w:bCs/>
          <w:sz w:val="32"/>
          <w:szCs w:val="32"/>
        </w:rPr>
        <w:t xml:space="preserve">4. Ground Surface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ground_surface_fused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Raster/Vector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LiDAR intensity, NAIP spectral, Mapillary street view, OSM surface tags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Asphalt, concrete, gravel, dirt, sand, grass, mud, water, rock, pavement_degraded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Vehicle passability primary surface input. Flash flood impervious fraction. Fire modeling: impervious surfaces are fire breaks. Routing edge weight modifier.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feeds passability layers</w:t>
            </w:r>
          </w:p>
        </w:tc>
      </w:tr>
    </w:tbl>
    <w:p>
      <w:pPr>
        <w:spacing w:before="80" w:after="80"/>
      </w:pPr>
      <w:r>
        <w:t xml:space="preserve"/>
      </w:r>
    </w:p>
    <w:p>
      <w:pPr>
        <w:pStyle w:val="Heading1"/>
        <w:spacing w:before="280" w:after="140"/>
      </w:pPr>
      <w:r>
        <w:rPr>
          <w:rFonts w:ascii="Arial" w:cs="Arial" w:eastAsia="Arial" w:hAnsi="Arial"/>
          <w:b/>
          <w:bCs/>
          <w:sz w:val="32"/>
          <w:szCs w:val="32"/>
        </w:rPr>
        <w:t xml:space="preserve">5. Passability Layers</w:t>
      </w:r>
    </w:p>
    <w:p>
      <w:pPr>
        <w:pStyle w:val="Heading2"/>
        <w:spacing w:before="200" w:after="100"/>
      </w:pPr>
      <w:r>
        <w:rPr>
          <w:rFonts w:ascii="Arial" w:cs="Arial" w:eastAsia="Arial" w:hAnsi="Arial"/>
          <w:b/>
          <w:bCs/>
          <w:sz w:val="26"/>
          <w:szCs w:val="26"/>
        </w:rPr>
        <w:t xml:space="preserve">5.1 On-Foot Passability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passability_foot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 Vector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Slope &lt; 30°, not water/wetland, surface ≠ bare_rock_cliff, barrier height &lt; 2m (climbable). Barriers scored for climbability by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 foot-routing for evacuees without vehicles. Search and rescue route planning. Backcountry navigation.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Walkable Terrain, Exodus toggle</w:t>
            </w:r>
          </w:p>
        </w:tc>
      </w:tr>
    </w:tbl>
    <w:p>
      <w:pPr>
        <w:spacing w:before="80" w:after="80"/>
      </w:pPr>
      <w:r>
        <w:t xml:space="preserve"/>
      </w:r>
    </w:p>
    <w:p>
      <w:pPr>
        <w:pStyle w:val="Heading2"/>
        <w:spacing w:before="200" w:after="100"/>
      </w:pPr>
      <w:r>
        <w:rPr>
          <w:rFonts w:ascii="Arial" w:cs="Arial" w:eastAsia="Arial" w:hAnsi="Arial"/>
          <w:b/>
          <w:bCs/>
          <w:sz w:val="26"/>
          <w:szCs w:val="26"/>
        </w:rPr>
        <w:t xml:space="preserve">5.2 2WD Vehicle Passability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passability_2wd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 Vector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Slope &lt; 15°, surface in (paved/gravel/firm_dirt/dry_grass), width &gt; 2.5m, not wetland, not flood_inundated. Bridge condition rating acceptable.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 routing: default vehicle type. Most evacuees drive 2WD sedans/SUVs. Route planning that avoids terrain requiring 4WD.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2WD Passable routes, Exodus toggle</w:t>
            </w:r>
          </w:p>
        </w:tc>
      </w:tr>
    </w:tbl>
    <w:p>
      <w:pPr>
        <w:spacing w:before="80" w:after="80"/>
      </w:pPr>
      <w:r>
        <w:t xml:space="preserve"/>
      </w:r>
    </w:p>
    <w:p>
      <w:pPr>
        <w:pStyle w:val="Heading2"/>
        <w:spacing w:before="200" w:after="100"/>
      </w:pPr>
      <w:r>
        <w:rPr>
          <w:rFonts w:ascii="Arial" w:cs="Arial" w:eastAsia="Arial" w:hAnsi="Arial"/>
          <w:b/>
          <w:bCs/>
          <w:sz w:val="26"/>
          <w:szCs w:val="26"/>
        </w:rPr>
        <w:t xml:space="preserve">5.3 4WD Vehicle Passability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passability_4wd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 Vector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Slope &lt; 25°, surface in (paved/gravel/dirt/sand/grass), width &gt; 2.5m, not wetland, not deep_water. Conservative fallback: unknown vehicle specs → worst-case (2WD) until user specifies.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Emergency routing that opens additional off-road options for capable vehicles. Off-road evacuation corridors.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4WD Passable, Exodus toggle</w:t>
            </w:r>
          </w:p>
        </w:tc>
      </w:tr>
    </w:tbl>
    <w:p>
      <w:pPr>
        <w:spacing w:before="80" w:after="80"/>
      </w:pPr>
      <w:r>
        <w:t xml:space="preserve"/>
      </w:r>
    </w:p>
    <w:p>
      <w:pPr>
        <w:pStyle w:val="Heading2"/>
        <w:spacing w:before="200" w:after="100"/>
      </w:pPr>
      <w:r>
        <w:rPr>
          <w:rFonts w:ascii="Arial" w:cs="Arial" w:eastAsia="Arial" w:hAnsi="Arial"/>
          <w:b/>
          <w:bCs/>
          <w:sz w:val="26"/>
          <w:szCs w:val="26"/>
        </w:rPr>
        <w:t xml:space="preserve">5.4 Off-Road Traversable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offroad_traversable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polygons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Parking lots, driveways, road shoulders, dirt lots, fields, beaches, medians, emergency turnarounds. With surface type and access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Exodus emergency routing: when roads are blocked, route through parking lots, driveways, and fields. Critical for Camp Fire / Paradise-type scenarios where road network saturated.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routing engine input</w:t>
            </w:r>
          </w:p>
        </w:tc>
      </w:tr>
    </w:tbl>
    <w:p>
      <w:pPr>
        <w:spacing w:before="80" w:after="80"/>
      </w:pPr>
      <w:r>
        <w:t xml:space="preserve"/>
      </w:r>
    </w:p>
    <w:p>
      <w:pPr>
        <w:pStyle w:val="Heading2"/>
        <w:spacing w:before="200" w:after="100"/>
      </w:pPr>
      <w:r>
        <w:rPr>
          <w:rFonts w:ascii="Arial" w:cs="Arial" w:eastAsia="Arial" w:hAnsi="Arial"/>
          <w:b/>
          <w:bCs/>
          <w:sz w:val="26"/>
          <w:szCs w:val="26"/>
        </w:rPr>
        <w:t xml:space="preserve">5.5 Road-to-Off-Road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road_offroad_connections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Driveway entrances, parking lot entrances, field gate locations, road shoulder access points. How to transition from road network to off-road traversable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Fills gap in routing graph: vehicle can leave the road network here. Gates explicitly discussed (Paradise Fire: locked Forest Service gates blocked evacuation routes — Beacon pre-maps these).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routing graph topology</w:t>
            </w:r>
          </w:p>
        </w:tc>
      </w:tr>
    </w:tbl>
    <w:p>
      <w:pPr>
        <w:spacing w:before="80" w:after="80"/>
      </w:pPr>
      <w:r>
        <w:t xml:space="preserve"/>
      </w:r>
    </w:p>
    <w:p>
      <w:pPr>
        <w:pStyle w:val="Heading1"/>
        <w:spacing w:before="280" w:after="140"/>
      </w:pPr>
      <w:r>
        <w:rPr>
          <w:rFonts w:ascii="Arial" w:cs="Arial" w:eastAsia="Arial" w:hAnsi="Arial"/>
          <w:b/>
          <w:bCs/>
          <w:sz w:val="32"/>
          <w:szCs w:val="32"/>
        </w:rPr>
        <w:t xml:space="preserve">6. Hazard Composite Layers</w:t>
      </w:r>
    </w:p>
    <w:p>
      <w:pPr>
        <w:pStyle w:val="Heading2"/>
        <w:spacing w:before="200" w:after="100"/>
      </w:pPr>
      <w:r>
        <w:rPr>
          <w:rFonts w:ascii="Arial" w:cs="Arial" w:eastAsia="Arial" w:hAnsi="Arial"/>
          <w:b/>
          <w:bCs/>
          <w:sz w:val="26"/>
          <w:szCs w:val="26"/>
        </w:rPr>
        <w:t xml:space="preserve">6.1 Wildfire Risk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wildfire_risk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(0–100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Fuel load + type (LANDFIRE + fused vegetation), slope + aspect (fire spread acceleration), crown fire potential, defensible space deficit density, WUI transition fuel zone connectivity, historical burn frequency (unburned areas = highest fuel accumulation), distance from power lines and roads (ignition sources), seasonal fuel moisture climatology, bridge fuel continuity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Distinct from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Per-structure fire vulnerability (layer 6.2). This answers "how likely is fire to reach and burn through this area" — landscape-scale. Per-structure answers "how vulnerable is this specific building."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Wildfire Risk, toggleable</w:t>
            </w:r>
          </w:p>
        </w:tc>
      </w:tr>
    </w:tbl>
    <w:p>
      <w:pPr>
        <w:spacing w:before="80" w:after="80"/>
      </w:pPr>
      <w:r>
        <w:t xml:space="preserve"/>
      </w:r>
    </w:p>
    <w:p>
      <w:pPr>
        <w:pStyle w:val="Heading2"/>
        <w:spacing w:before="200" w:after="100"/>
      </w:pPr>
      <w:r>
        <w:rPr>
          <w:rFonts w:ascii="Arial" w:cs="Arial" w:eastAsia="Arial" w:hAnsi="Arial"/>
          <w:b/>
          <w:bCs/>
          <w:sz w:val="26"/>
          <w:szCs w:val="26"/>
        </w:rPr>
        <w:t xml:space="preserve">6.2 Fire Vulnerability (Per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fire_vulnerability_structure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attribute on buildings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Construction material, roof type, defensible space (30ft, 100ft zones), vegetation proximity, bridge fuels attached (deck, fence, hedge), attic vent locations, year built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Structure-level fire suppression prioritization. Insurance risk score. Pre-evacuation assessment. "Your specific home has high ember ignition risk due to wood deck + attic 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clickable on buildings layer, toggleable as overlay</w:t>
            </w:r>
          </w:p>
        </w:tc>
      </w:tr>
    </w:tbl>
    <w:p>
      <w:pPr>
        <w:spacing w:before="80" w:after="80"/>
      </w:pPr>
      <w:r>
        <w:t xml:space="preserve"/>
      </w:r>
    </w:p>
    <w:p>
      <w:pPr>
        <w:pStyle w:val="Heading2"/>
        <w:spacing w:before="200" w:after="100"/>
      </w:pPr>
      <w:r>
        <w:rPr>
          <w:rFonts w:ascii="Arial" w:cs="Arial" w:eastAsia="Arial" w:hAnsi="Arial"/>
          <w:b/>
          <w:bCs/>
          <w:sz w:val="26"/>
          <w:szCs w:val="26"/>
        </w:rPr>
        <w:t xml:space="preserve">6.3 Flood Susceptibility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flood_susceptibility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(0–100 + time-to-flood estimate)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HAND (height above nearest drainage), watershed characteristics, land cover (impervious %), FEMA flood zone, soil hydraulic conductivity, flood infrastructure (levees, detention basins)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Flood Risk, default OFF</w:t>
            </w:r>
          </w:p>
        </w:tc>
      </w:tr>
    </w:tbl>
    <w:p>
      <w:pPr>
        <w:spacing w:before="80" w:after="80"/>
      </w:pPr>
      <w:r>
        <w:t xml:space="preserve"/>
      </w:r>
    </w:p>
    <w:p>
      <w:pPr>
        <w:pStyle w:val="Heading2"/>
        <w:spacing w:before="200" w:after="100"/>
      </w:pPr>
      <w:r>
        <w:rPr>
          <w:rFonts w:ascii="Arial" w:cs="Arial" w:eastAsia="Arial" w:hAnsi="Arial"/>
          <w:b/>
          <w:bCs/>
          <w:sz w:val="26"/>
          <w:szCs w:val="26"/>
        </w:rPr>
        <w:t xml:space="preserve">6.4 Hurricane Risk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hurricane_risk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(0–100 composite + categorical breakdown)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SLOSH storm surge zones (Cat 1–5), elevation + distance from coast, HAND for inland rainfall flooding, wind exposure (terrain shielding, urban density), building construction type, tree canopy density (falling tree hazard), power infrastructure exposure, FEMA flood zone overlap, historical hurricane track density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breakdown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wind_risk, surge_risk, rain_flood_risk, debris_risk per cell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Hurricane Risk, toggleable</w:t>
            </w:r>
          </w:p>
        </w:tc>
      </w:tr>
    </w:tbl>
    <w:p>
      <w:pPr>
        <w:spacing w:before="80" w:after="80"/>
      </w:pPr>
      <w:r>
        <w:t xml:space="preserve"/>
      </w:r>
    </w:p>
    <w:p>
      <w:pPr>
        <w:pStyle w:val="Heading2"/>
        <w:spacing w:before="200" w:after="100"/>
      </w:pPr>
      <w:r>
        <w:rPr>
          <w:rFonts w:ascii="Arial" w:cs="Arial" w:eastAsia="Arial" w:hAnsi="Arial"/>
          <w:b/>
          <w:bCs/>
          <w:sz w:val="26"/>
          <w:szCs w:val="26"/>
        </w:rPr>
        <w:t xml:space="preserve">6.5 Blizzard Risk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blizzard_risk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(0–100 composite + categorical breakdown)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Road exposure (elevated/unsheltered, known drift-prone cuts, bridge decks), building heating vulnerability (ACS heating fuel type — all-electric = loses all heat in outage), population vulnerability (elderly + mobile home + poverty), snow drift susceptibility (terrain + vegetation analysis), distance from shelter/warming centers, cell coverage gaps, power grid fragility (overhead lines through tree canopy)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breakdown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stranding_risk, exposure_risk, isolation_risk, infrastructure_loss_risk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Blizzard Risk, toggleable</w:t>
            </w:r>
          </w:p>
        </w:tc>
      </w:tr>
    </w:tbl>
    <w:p>
      <w:pPr>
        <w:spacing w:before="80" w:after="80"/>
      </w:pPr>
      <w:r>
        <w:t xml:space="preserve"/>
      </w:r>
    </w:p>
    <w:p>
      <w:pPr>
        <w:pStyle w:val="Heading2"/>
        <w:spacing w:before="200" w:after="100"/>
      </w:pPr>
      <w:r>
        <w:rPr>
          <w:rFonts w:ascii="Arial" w:cs="Arial" w:eastAsia="Arial" w:hAnsi="Arial"/>
          <w:b/>
          <w:bCs/>
          <w:sz w:val="26"/>
          <w:szCs w:val="26"/>
        </w:rPr>
        <w:t xml:space="preserve">6.6 Electrocution Risk (Event-Time)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electrocution_risk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 overlay at event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Flood extent intersects power line locations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Power line locations + voltage class (transmission/distribution), flood inundation extent, water conductivity estimate (saltwater worse than fresh), nearest downed line reports (crowdsourced)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Explicit Hurricane Katrina scenario: people wading through flooded streets with downed power lines. Beacon generates "do not enter this flooded area — energized power lines reported" overlay.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Electrocution Hazard overlay, active during flood events</w:t>
            </w:r>
          </w:p>
        </w:tc>
      </w:tr>
    </w:tbl>
    <w:p>
      <w:pPr>
        <w:spacing w:before="80" w:after="80"/>
      </w:pPr>
      <w:r>
        <w:t xml:space="preserve"/>
      </w:r>
    </w:p>
    <w:p>
      <w:pPr>
        <w:pStyle w:val="Heading1"/>
        <w:spacing w:before="280" w:after="140"/>
      </w:pPr>
      <w:r>
        <w:rPr>
          <w:rFonts w:ascii="Arial" w:cs="Arial" w:eastAsia="Arial" w:hAnsi="Arial"/>
          <w:b/>
          <w:bCs/>
          <w:sz w:val="32"/>
          <w:szCs w:val="32"/>
        </w:rPr>
        <w:t xml:space="preserve">7. WUI Layers</w:t>
      </w:r>
    </w:p>
    <w:p>
      <w:pPr>
        <w:pStyle w:val="Heading2"/>
        <w:spacing w:before="200" w:after="100"/>
      </w:pPr>
      <w:r>
        <w:rPr>
          <w:rFonts w:ascii="Arial" w:cs="Arial" w:eastAsia="Arial" w:hAnsi="Arial"/>
          <w:b/>
          <w:bCs/>
          <w:sz w:val="26"/>
          <w:szCs w:val="26"/>
        </w:rPr>
        <w:t xml:space="preserve">7.1 WUI Zone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wui_zones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polygons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Classification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Interface WUI (structures within 0.5 miles of wildland vegetation), Intermix WUI (structures scattered within wildland), Wildland vegetation adjacent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LANDFIRE WUI layer (national reference), NAIP residential edge detection (parcel-level refinement), building density + vegetation density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WUI Zones, toggleable</w:t>
            </w:r>
          </w:p>
        </w:tc>
      </w:tr>
    </w:tbl>
    <w:p>
      <w:pPr>
        <w:spacing w:before="80" w:after="80"/>
      </w:pPr>
      <w:r>
        <w:t xml:space="preserve"/>
      </w:r>
    </w:p>
    <w:p>
      <w:pPr>
        <w:pStyle w:val="Heading2"/>
        <w:spacing w:before="200" w:after="100"/>
      </w:pPr>
      <w:r>
        <w:rPr>
          <w:rFonts w:ascii="Arial" w:cs="Arial" w:eastAsia="Arial" w:hAnsi="Arial"/>
          <w:b/>
          <w:bCs/>
          <w:sz w:val="26"/>
          <w:szCs w:val="26"/>
        </w:rPr>
        <w:t xml:space="preserve">7.2 Nonburnable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nonburnable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mask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Paved surfaces, water bodies, bare rock, irrigated agriculture, structures themselves (as fire break not fuel in wildland model). Where fire physically cannot spread.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 spread model boundary conditions. Safe zone identification. "Large parking lots where people can shelter if they cannot evacuate."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fire model input</w:t>
            </w:r>
          </w:p>
        </w:tc>
      </w:tr>
    </w:tbl>
    <w:p>
      <w:pPr>
        <w:spacing w:before="80" w:after="80"/>
      </w:pPr>
      <w:r>
        <w:t xml:space="preserve"/>
      </w:r>
    </w:p>
    <w:p>
      <w:pPr>
        <w:pStyle w:val="Heading2"/>
        <w:spacing w:before="200" w:after="100"/>
      </w:pPr>
      <w:r>
        <w:rPr>
          <w:rFonts w:ascii="Arial" w:cs="Arial" w:eastAsia="Arial" w:hAnsi="Arial"/>
          <w:b/>
          <w:bCs/>
          <w:sz w:val="26"/>
          <w:szCs w:val="26"/>
        </w:rPr>
        <w:t xml:space="preserve">7.3 Fire Safe Zones / Refuge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fire_safe_zones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polygons (pre-computed + real-time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Pre-computed component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 paved areas, parking lots, clearings meeting minimum size + low-fuel criteria. Pre-identified as potential last-resort refuge.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Real-time component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 the black" tracking: already-burned terrain becomes nonburnable and thus safe (for appropriate time after flame front passage). State machine transitions: unburned → burning → burned → safe.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uses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"Large parking lot at X: fire cannot reach it within your time window." Explicit discussion: ELMFIRE radiant heat modeling enables identifying defensible spaces. Burned grass may be passable within minutes of flame front if fuel load was light.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Fire Safe Zones, active during wildfire events</w:t>
            </w:r>
          </w:p>
        </w:tc>
      </w:tr>
    </w:tbl>
    <w:p>
      <w:pPr>
        <w:spacing w:before="80" w:after="80"/>
      </w:pPr>
      <w:r>
        <w:t xml:space="preserve"/>
      </w:r>
    </w:p>
    <w:p>
      <w:pPr>
        <w:pStyle w:val="Heading1"/>
        <w:spacing w:before="280" w:after="140"/>
      </w:pPr>
      <w:r>
        <w:rPr>
          <w:rFonts w:ascii="Arial" w:cs="Arial" w:eastAsia="Arial" w:hAnsi="Arial"/>
          <w:b/>
          <w:bCs/>
          <w:sz w:val="32"/>
          <w:szCs w:val="32"/>
        </w:rPr>
        <w:t xml:space="preserve">8. Explosion Hazard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explosion_hazard_zones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points + buffer polygons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EPA RMP + PHMSA + OSM + Mapillary CV + LiDAR cylinder detections + utility territories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Everything that can explode, detonate, or BLEVE during a fire, earthquake, or flood: natural gas pipelines (with corridor polygons), industrial RMP facilities, bulk propane/LPG storage, above-ground fuel storage tanks, residential propane (detected via Mapillary CV + LiDAR), rail hazmat corridors, ammonia/chlorine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Attributes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hazard_radius_m, explosion_type (BLEVE/vapor_cloud/detonation/gas_dispersion), substance, quantity_estimate, source_confidence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Conservative fallback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Unknown facility type defaults to largest plausible radius for safety.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Explosion Hazards, EM + fire toggle</w:t>
            </w:r>
          </w:p>
        </w:tc>
      </w:tr>
    </w:tbl>
    <w:p>
      <w:pPr>
        <w:spacing w:before="80" w:after="80"/>
      </w:pPr>
      <w:r>
        <w:t xml:space="preserve"/>
      </w:r>
    </w:p>
    <w:p>
      <w:pPr>
        <w:pStyle w:val="Heading1"/>
        <w:spacing w:before="280" w:after="140"/>
      </w:pPr>
      <w:r>
        <w:rPr>
          <w:rFonts w:ascii="Arial" w:cs="Arial" w:eastAsia="Arial" w:hAnsi="Arial"/>
          <w:b/>
          <w:bCs/>
          <w:sz w:val="32"/>
          <w:szCs w:val="32"/>
        </w:rPr>
        <w:t xml:space="preserve">9. Nuclear Hazard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nuclear_hazard_zones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Vector polygons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NRC reactor database; DOE national labs; HYSPLIT wind modeling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10-mile EPZ (Emergency Planning Zone) around each reactor, 50-mile ingestion pathway zone, dynamic downwind plume corridors (pre-computed for 8 cardinal wind directions × 3 atmospheric stability classes), spent fuel storage facilities, uranium processing 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insight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Most people don't know they live downwind of a reactor. This layer makes it visible. Pre-computed wind direction plume polygons activated at incident time — no real-time calculation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YES — Nuclear Hazard Zones, toggleable</w:t>
            </w:r>
          </w:p>
        </w:tc>
      </w:tr>
    </w:tbl>
    <w:p>
      <w:pPr>
        <w:spacing w:before="80" w:after="80"/>
      </w:pPr>
      <w:r>
        <w:t xml:space="preserve"/>
      </w:r>
    </w:p>
    <w:p>
      <w:pPr>
        <w:pStyle w:val="Heading1"/>
        <w:spacing w:before="280" w:after="140"/>
      </w:pPr>
      <w:r>
        <w:rPr>
          <w:rFonts w:ascii="Arial" w:cs="Arial" w:eastAsia="Arial" w:hAnsi="Arial"/>
          <w:b/>
          <w:bCs/>
          <w:sz w:val="32"/>
          <w:szCs w:val="32"/>
        </w:rPr>
        <w:t xml:space="preserve">10. Data Confidence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Attribute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Layer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data_confidence_composite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Raster (0–1 per cell)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LiDAR shadow coverage score + NAIP canopy occlusion + cloud shadow + Mapillary visibility depth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Per-cell confidence showing where data is strong vs. where the system is extrapolating. Enables intelligent fusion weighting. Where LiDAR has shadow zones, weight NAIP more. Where Mapillary has no coverage, weight LiDAR + NAIP more.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User-facing?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Admin/EM quality layer — not public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2026-03-07T09:49:37.651Z</dcterms:created>
  <dcterms:modified xsi:type="dcterms:W3CDTF">2026-03-07T09:49:37.651Z</dcterms:modified>
</cp:coreProperties>
</file>

<file path=docProps/custom.xml><?xml version="1.0" encoding="utf-8"?>
<Properties xmlns="http://schemas.openxmlformats.org/officeDocument/2006/custom-properties" xmlns:vt="http://schemas.openxmlformats.org/officeDocument/2006/docPropsVTypes"/>
</file>