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2" w:color="1B3A5C" w:space="4"/>
        </w:pBdr>
      </w:pPr>
      <w:r>
        <w:rPr>
          <w:rFonts w:ascii="Arial" w:hAnsi="Arial"/>
          <w:b/>
          <w:color w:val="1B3A5C"/>
          <w:sz w:val="20"/>
        </w:rPr>
        <w:t>BEACON</w:t>
      </w:r>
      <w:r>
        <w:rPr>
          <w:rFonts w:ascii="Arial" w:hAnsi="Arial"/>
          <w:color w:val="666666"/>
          <w:sz w:val="18"/>
        </w:rPr>
        <w:t xml:space="preserve">  Emergency Intelligence Platform</w:t>
      </w:r>
    </w:p>
    <w:p>
      <w:pPr>
        <w:spacing w:before="240" w:after="40"/>
      </w:pPr>
      <w:r>
        <w:rPr>
          <w:rFonts w:ascii="Arial" w:hAnsi="Arial"/>
          <w:b/>
          <w:color w:val="1B3A5C"/>
          <w:sz w:val="40"/>
        </w:rPr>
        <w:t>Capability Brief</w:t>
      </w:r>
    </w:p>
    <w:p>
      <w:pPr>
        <w:spacing w:after="40"/>
      </w:pPr>
      <w:r>
        <w:rPr>
          <w:rFonts w:ascii="Arial" w:hAnsi="Arial"/>
          <w:color w:val="C75B12"/>
          <w:sz w:val="24"/>
        </w:rPr>
        <w:t>FEMA Next Generation Warning System Grant Program (NGWSGP)</w:t>
      </w:r>
    </w:p>
    <w:p>
      <w:pPr>
        <w:spacing w:after="320"/>
      </w:pPr>
      <w:r>
        <w:rPr>
          <w:rFonts w:ascii="Arial" w:hAnsi="Arial"/>
          <w:color w:val="666666"/>
          <w:sz w:val="20"/>
        </w:rPr>
        <w:t>Submitted to: New York State Division of Homeland Security and Emergency Services (DHSES)</w:t>
      </w:r>
    </w:p>
    <w:p>
      <w:pPr>
        <w:pStyle w:val="Heading1"/>
      </w:pPr>
      <w:r>
        <w:t>The Problem</w:t>
      </w:r>
    </w:p>
    <w:p>
      <w:r>
        <w:t>On September 11, 2001, after the first plane struck the North Tower, occupants of the South Tower were told to remain at their desks. When the second plane hit 17 minutes later, people in the upper floors had no information about which stairwells were passable, which floors were compromised, or which direction to move. Firefighters climbing the building knew stairwell conditions on specific floors, but had no way to push that information to the hundreds of people above them trying to get out. 343 first responders died. 2,606 civilians died in the towers. Many who could have evacuated did not because they had no actionable escape information.</w:t>
      </w:r>
    </w:p>
    <w:p>
      <w:r>
        <w:t>Twenty-five years later, the gap remains. When a high-rise fire, structural collapse, or attack occurs, the people inside the building have no mechanism to receive real-time escape routing from the responders who have the situational picture. And responders have no mechanism to know who is still inside, who got out, and who needs help. IPAWS can broadcast that an emergency is happening. It cannot tell the person on the 54th floor that stairwell A is blocked on 38 and stairwell B is clear.</w:t>
      </w:r>
    </w:p>
    <w:p>
      <w:pPr>
        <w:pStyle w:val="Heading1"/>
      </w:pPr>
      <w:r>
        <w:t>What Beacon Does</w:t>
      </w:r>
    </w:p>
    <w:p>
      <w:r>
        <w:t>Beacon is an emergency intelligence platform that closes two gaps no existing system addresses: it pushes real-time, location-specific guidance into a danger zone, and it gives responders instant accountability of who is inside and whether they need help.</w:t>
      </w:r>
    </w:p>
    <w:p>
      <w:pPr>
        <w:spacing w:before="120"/>
      </w:pPr>
      <w:r>
        <w:rPr>
          <w:b/>
          <w:color w:val="1B3A5C"/>
        </w:rPr>
        <w:t>Three capabilities, one platform:</w:t>
      </w:r>
    </w:p>
    <w:p>
      <w:pPr>
        <w:spacing w:before="200"/>
      </w:pPr>
      <w:r>
        <w:rPr>
          <w:b/>
        </w:rPr>
        <w:t xml:space="preserve">1. Situational awareness. </w:t>
      </w:r>
      <w:r>
        <w:t>The public app shows each user where they are relative to live hazard data—NWS alert polygons, fire perimeters, flood zones, evacuation boundaries—rendered on a real-time map. A tornado warning is not a text that says “tornado warning in your county.” It is a polygon on a map with your location inside or outside it, the storm’s track, and its distance from you. This is built and live today.</w:t>
      </w:r>
    </w:p>
    <w:p>
      <w:pPr>
        <w:spacing w:before="120"/>
      </w:pPr>
      <w:r>
        <w:rPr>
          <w:b/>
        </w:rPr>
        <w:t xml:space="preserve">2. Real-time escape routing. </w:t>
      </w:r>
      <w:r>
        <w:t>When EMS establishes an incident, they can push updated guidance directly into the geofenced area. Not a generic “evacuate now”—specific, changing instructions: “Stairwell B confirmed clear to ground floor. Avoid stairwell A above floor 38. Roof access open for helicopter evacuation.” As conditions change, the guidance updates. Every person in the building with Beacon sees the current best escape information from the people who actually know.</w:t>
      </w:r>
    </w:p>
    <w:p>
      <w:pPr>
        <w:spacing w:before="120"/>
      </w:pPr>
      <w:r>
        <w:rPr>
          <w:b/>
        </w:rPr>
        <w:t xml:space="preserve">3. Bidirectional status confirmation. </w:t>
      </w:r>
      <w:r>
        <w:t>When EMS geofences an affected area, every Beacon user inside receives a status check. They respond: Safe, Need Help, or Trapped. The EMS dashboard shows real-time accountability—who confirmed out, who needs rescue, who hasn’t responded. Responders stop searching floors where everyone has checked in and focus on the floors where people are unaccounted for.</w:t>
      </w:r>
    </w:p>
    <w:p>
      <w:pPr>
        <w:spacing w:before="240"/>
      </w:pPr>
      <w:r>
        <w:rPr>
          <w:b/>
          <w:color w:val="1B3A5C"/>
        </w:rPr>
        <w:t>Privacy and consent</w:t>
      </w:r>
    </w:p>
    <w:p>
      <w:r>
        <w:t>All geofence checks run on-device. No user location leaves the phone unless the user explicitly shares it by selecting “Need Help” or by pre-authorizing emergency release. Three consent tiers:</w:t>
      </w:r>
    </w:p>
    <w:p>
      <w:pPr>
        <w:pStyle w:val="ListBullet"/>
      </w:pPr>
      <w:r>
        <w:rPr>
          <w:b/>
        </w:rPr>
        <w:t xml:space="preserve">Default: </w:t>
      </w:r>
      <w:r>
        <w:t>Receive emergency alerts and guidance when in an affected area. Location stays on-device.</w:t>
      </w:r>
    </w:p>
    <w:p>
      <w:pPr>
        <w:pStyle w:val="ListBullet"/>
      </w:pPr>
      <w:r>
        <w:rPr>
          <w:b/>
        </w:rPr>
        <w:t xml:space="preserve">Opt-in: </w:t>
      </w:r>
      <w:r>
        <w:t>Share approximate location with authorized responders when requesting help.</w:t>
      </w:r>
    </w:p>
    <w:p>
      <w:pPr>
        <w:pStyle w:val="ListBullet"/>
      </w:pPr>
      <w:r>
        <w:rPr>
          <w:b/>
        </w:rPr>
        <w:t xml:space="preserve">Pre-authorized: </w:t>
      </w:r>
      <w:r>
        <w:t>If unresponsive during a declared emergency, release last known location automatically. Fully informed consent, revocable anytime.</w:t>
      </w:r>
    </w:p>
    <w:p>
      <w:pPr>
        <w:pStyle w:val="Heading1"/>
      </w:pPr>
      <w:r>
        <w:t>Current Platform Status</w:t>
      </w:r>
    </w:p>
    <w:p>
      <w:r>
        <w:t>Beacon is not a concept. The following components are operational as of April 2026:</w:t>
      </w:r>
    </w:p>
    <w:tbl>
      <w:tblPr>
        <w:tblW w:type="auto" w:w="0"/>
        <w:jc w:val="center"/>
        <w:tblLook w:firstColumn="1" w:firstRow="1" w:lastColumn="0" w:lastRow="0" w:noHBand="0" w:noVBand="1" w:val="04A0"/>
      </w:tblPr>
      <w:tblGrid>
        <w:gridCol w:w="4680"/>
        <w:gridCol w:w="4680"/>
      </w:tblGrid>
      <w:tr>
        <w:tc>
          <w:tcPr>
            <w:tcW w:type="dxa" w:w="3168"/>
            <w:shd w:fill="1B3A5C" w:val="clear"/>
            <w:tcMar>
              <w:top w:w="60" w:type="dxa"/>
              <w:bottom w:w="60" w:type="dxa"/>
              <w:start w:w="100" w:type="dxa"/>
              <w:end w:w="100" w:type="dxa"/>
            </w:tcMar>
          </w:tcPr>
          <w:p>
            <w:r/>
            <w:r>
              <w:rPr>
                <w:rFonts w:ascii="Arial" w:hAnsi="Arial"/>
                <w:b/>
                <w:color w:val="FFFFFF"/>
                <w:sz w:val="20"/>
              </w:rPr>
              <w:t>Component</w:t>
            </w:r>
          </w:p>
        </w:tc>
        <w:tc>
          <w:tcPr>
            <w:tcW w:type="dxa" w:w="6192"/>
            <w:shd w:fill="1B3A5C" w:val="clear"/>
            <w:tcMar>
              <w:top w:w="60" w:type="dxa"/>
              <w:bottom w:w="60" w:type="dxa"/>
              <w:start w:w="100" w:type="dxa"/>
              <w:end w:w="100" w:type="dxa"/>
            </w:tcMar>
          </w:tcPr>
          <w:p>
            <w:r/>
            <w:r>
              <w:rPr>
                <w:rFonts w:ascii="Arial" w:hAnsi="Arial"/>
                <w:b/>
                <w:color w:val="FFFFFF"/>
                <w:sz w:val="20"/>
              </w:rPr>
              <w:t>Status</w:t>
            </w:r>
          </w:p>
        </w:tc>
      </w:tr>
      <w:tr>
        <w:tc>
          <w:tcPr>
            <w:tcW w:type="dxa" w:w="3168"/>
            <w:tcMar>
              <w:top w:w="60" w:type="dxa"/>
              <w:bottom w:w="60" w:type="dxa"/>
              <w:start w:w="100" w:type="dxa"/>
              <w:end w:w="100" w:type="dxa"/>
            </w:tcMar>
            <w:shd w:fill="F0F4F8" w:val="clear"/>
          </w:tcPr>
          <w:p>
            <w:r/>
            <w:r>
              <w:rPr>
                <w:rFonts w:ascii="Arial" w:hAnsi="Arial"/>
                <w:sz w:val="20"/>
              </w:rPr>
              <w:t>Public App</w:t>
            </w:r>
          </w:p>
        </w:tc>
        <w:tc>
          <w:tcPr>
            <w:tcW w:type="dxa" w:w="6192"/>
            <w:tcMar>
              <w:top w:w="60" w:type="dxa"/>
              <w:bottom w:w="60" w:type="dxa"/>
              <w:start w:w="100" w:type="dxa"/>
              <w:end w:w="100" w:type="dxa"/>
            </w:tcMar>
            <w:shd w:fill="F0F4F8" w:val="clear"/>
          </w:tcPr>
          <w:p>
            <w:r/>
            <w:r>
              <w:rPr>
                <w:rFonts w:ascii="Arial" w:hAnsi="Arial"/>
                <w:sz w:val="20"/>
              </w:rPr>
              <w:t>Live. Real-time Cesium globe with NWS alerts, live NIFC fire tracking with perimeter history and spread projections, weather radar, earthquake, flight, and satellite layers. Users see their position relative to all active hazards.</w:t>
            </w:r>
          </w:p>
        </w:tc>
      </w:tr>
      <w:tr>
        <w:tc>
          <w:tcPr>
            <w:tcW w:type="dxa" w:w="3168"/>
            <w:tcMar>
              <w:top w:w="60" w:type="dxa"/>
              <w:bottom w:w="60" w:type="dxa"/>
              <w:start w:w="100" w:type="dxa"/>
              <w:end w:w="100" w:type="dxa"/>
            </w:tcMar>
          </w:tcPr>
          <w:p>
            <w:r/>
            <w:r>
              <w:rPr>
                <w:rFonts w:ascii="Arial" w:hAnsi="Arial"/>
                <w:sz w:val="20"/>
              </w:rPr>
              <w:t>Admin Dashboard</w:t>
            </w:r>
          </w:p>
        </w:tc>
        <w:tc>
          <w:tcPr>
            <w:tcW w:type="dxa" w:w="6192"/>
            <w:tcMar>
              <w:top w:w="60" w:type="dxa"/>
              <w:bottom w:w="60" w:type="dxa"/>
              <w:start w:w="100" w:type="dxa"/>
              <w:end w:w="100" w:type="dxa"/>
            </w:tcMar>
          </w:tcPr>
          <w:p>
            <w:r/>
            <w:r>
              <w:rPr>
                <w:rFonts w:ascii="Arial" w:hAnsi="Arial"/>
                <w:sz w:val="20"/>
              </w:rPr>
              <w:t>Live. 100+ pages. Employee management, client management, role-based access, audit logging, incident management.</w:t>
            </w:r>
          </w:p>
        </w:tc>
      </w:tr>
      <w:tr>
        <w:tc>
          <w:tcPr>
            <w:tcW w:type="dxa" w:w="3168"/>
            <w:tcMar>
              <w:top w:w="60" w:type="dxa"/>
              <w:bottom w:w="60" w:type="dxa"/>
              <w:start w:w="100" w:type="dxa"/>
              <w:end w:w="100" w:type="dxa"/>
            </w:tcMar>
            <w:shd w:fill="F0F4F8" w:val="clear"/>
          </w:tcPr>
          <w:p>
            <w:r/>
            <w:r>
              <w:rPr>
                <w:rFonts w:ascii="Arial" w:hAnsi="Arial"/>
                <w:sz w:val="20"/>
              </w:rPr>
              <w:t>Fire Intelligence</w:t>
            </w:r>
          </w:p>
        </w:tc>
        <w:tc>
          <w:tcPr>
            <w:tcW w:type="dxa" w:w="6192"/>
            <w:tcMar>
              <w:top w:w="60" w:type="dxa"/>
              <w:bottom w:w="60" w:type="dxa"/>
              <w:start w:w="100" w:type="dxa"/>
              <w:end w:w="100" w:type="dxa"/>
            </w:tcMar>
            <w:shd w:fill="F0F4F8" w:val="clear"/>
          </w:tcPr>
          <w:p>
            <w:r/>
            <w:r>
              <w:rPr>
                <w:rFonts w:ascii="Arial" w:hAnsi="Arial"/>
                <w:sz w:val="20"/>
              </w:rPr>
              <w:t>Live. Automated NIFC perimeter + incident point integration, timeline playback, fire detail (start time, duration, behavior), and projected spread rate/direction.</w:t>
            </w:r>
          </w:p>
        </w:tc>
      </w:tr>
      <w:tr>
        <w:tc>
          <w:tcPr>
            <w:tcW w:type="dxa" w:w="3168"/>
            <w:tcMar>
              <w:top w:w="60" w:type="dxa"/>
              <w:bottom w:w="60" w:type="dxa"/>
              <w:start w:w="100" w:type="dxa"/>
              <w:end w:w="100" w:type="dxa"/>
            </w:tcMar>
          </w:tcPr>
          <w:p>
            <w:r/>
            <w:r>
              <w:rPr>
                <w:rFonts w:ascii="Arial" w:hAnsi="Arial"/>
                <w:sz w:val="20"/>
              </w:rPr>
              <w:t>Design System</w:t>
            </w:r>
          </w:p>
        </w:tc>
        <w:tc>
          <w:tcPr>
            <w:tcW w:type="dxa" w:w="6192"/>
            <w:tcMar>
              <w:top w:w="60" w:type="dxa"/>
              <w:bottom w:w="60" w:type="dxa"/>
              <w:start w:w="100" w:type="dxa"/>
              <w:end w:w="100" w:type="dxa"/>
            </w:tcMar>
          </w:tcPr>
          <w:p>
            <w:r/>
            <w:r>
              <w:rPr>
                <w:rFonts w:ascii="Arial" w:hAnsi="Arial"/>
                <w:sz w:val="20"/>
              </w:rPr>
              <w:t>Complete. Full token library, typography, component variants, Tailwind integration.</w:t>
            </w:r>
          </w:p>
        </w:tc>
      </w:tr>
      <w:tr>
        <w:tc>
          <w:tcPr>
            <w:tcW w:type="dxa" w:w="3168"/>
            <w:tcMar>
              <w:top w:w="60" w:type="dxa"/>
              <w:bottom w:w="60" w:type="dxa"/>
              <w:start w:w="100" w:type="dxa"/>
              <w:end w:w="100" w:type="dxa"/>
            </w:tcMar>
            <w:shd w:fill="F0F4F8" w:val="clear"/>
          </w:tcPr>
          <w:p>
            <w:r/>
            <w:r>
              <w:rPr>
                <w:rFonts w:ascii="Arial" w:hAnsi="Arial"/>
                <w:sz w:val="20"/>
              </w:rPr>
              <w:t>Database</w:t>
            </w:r>
          </w:p>
        </w:tc>
        <w:tc>
          <w:tcPr>
            <w:tcW w:type="dxa" w:w="6192"/>
            <w:tcMar>
              <w:top w:w="60" w:type="dxa"/>
              <w:bottom w:w="60" w:type="dxa"/>
              <w:start w:w="100" w:type="dxa"/>
              <w:end w:w="100" w:type="dxa"/>
            </w:tcMar>
            <w:shd w:fill="F0F4F8" w:val="clear"/>
          </w:tcPr>
          <w:p>
            <w:r/>
            <w:r>
              <w:rPr>
                <w:rFonts w:ascii="Arial" w:hAnsi="Arial"/>
                <w:sz w:val="20"/>
              </w:rPr>
              <w:t>PostgreSQL with Prisma. 12+ models including Employee, Client, PublicUser, Incident, MapDataset.</w:t>
            </w:r>
          </w:p>
        </w:tc>
      </w:tr>
      <w:tr>
        <w:tc>
          <w:tcPr>
            <w:tcW w:type="dxa" w:w="3168"/>
            <w:tcMar>
              <w:top w:w="60" w:type="dxa"/>
              <w:bottom w:w="60" w:type="dxa"/>
              <w:start w:w="100" w:type="dxa"/>
              <w:end w:w="100" w:type="dxa"/>
            </w:tcMar>
          </w:tcPr>
          <w:p>
            <w:r/>
            <w:r>
              <w:rPr>
                <w:rFonts w:ascii="Arial" w:hAnsi="Arial"/>
                <w:sz w:val="20"/>
              </w:rPr>
              <w:t>Geofenced Status Check</w:t>
            </w:r>
          </w:p>
        </w:tc>
        <w:tc>
          <w:tcPr>
            <w:tcW w:type="dxa" w:w="6192"/>
            <w:tcMar>
              <w:top w:w="60" w:type="dxa"/>
              <w:bottom w:w="60" w:type="dxa"/>
              <w:start w:w="100" w:type="dxa"/>
              <w:end w:w="100" w:type="dxa"/>
            </w:tcMar>
          </w:tcPr>
          <w:p>
            <w:r/>
            <w:r>
              <w:rPr>
                <w:rFonts w:ascii="Arial" w:hAnsi="Arial"/>
                <w:sz w:val="20"/>
              </w:rPr>
              <w:t>Architecture complete. Beta targeted late April 2026.</w:t>
            </w:r>
          </w:p>
        </w:tc>
      </w:tr>
      <w:tr>
        <w:tc>
          <w:tcPr>
            <w:tcW w:type="dxa" w:w="3168"/>
            <w:tcMar>
              <w:top w:w="60" w:type="dxa"/>
              <w:bottom w:w="60" w:type="dxa"/>
              <w:start w:w="100" w:type="dxa"/>
              <w:end w:w="100" w:type="dxa"/>
            </w:tcMar>
            <w:shd w:fill="F0F4F8" w:val="clear"/>
          </w:tcPr>
          <w:p>
            <w:r/>
            <w:r>
              <w:rPr>
                <w:rFonts w:ascii="Arial" w:hAnsi="Arial"/>
                <w:sz w:val="20"/>
              </w:rPr>
              <w:t>Real-Time Escape Routing</w:t>
            </w:r>
          </w:p>
        </w:tc>
        <w:tc>
          <w:tcPr>
            <w:tcW w:type="dxa" w:w="6192"/>
            <w:tcMar>
              <w:top w:w="60" w:type="dxa"/>
              <w:bottom w:w="60" w:type="dxa"/>
              <w:start w:w="100" w:type="dxa"/>
              <w:end w:w="100" w:type="dxa"/>
            </w:tcMar>
            <w:shd w:fill="F0F4F8" w:val="clear"/>
          </w:tcPr>
          <w:p>
            <w:r/>
            <w:r>
              <w:rPr>
                <w:rFonts w:ascii="Arial" w:hAnsi="Arial"/>
                <w:sz w:val="20"/>
              </w:rPr>
              <w:t>Designed. NGWSGP funding would build this capability.</w:t>
            </w:r>
          </w:p>
        </w:tc>
      </w:tr>
    </w:tbl>
    <w:p>
      <w:r>
        <w:br w:type="page"/>
      </w:r>
    </w:p>
    <w:p>
      <w:pPr>
        <w:pStyle w:val="Heading1"/>
      </w:pPr>
      <w:r>
        <w:t>Proposed NGWSGP Integration</w:t>
      </w:r>
    </w:p>
    <w:p>
      <w:r>
        <w:t>Beacon requests inclusion in New York State’s NGWSGP application as a next-generation public alert and warning capability that directly addresses the state’s specific threat profile: high-rise emergencies, terrorist attacks, and hurricane-driven cascading failures.</w:t>
      </w:r>
    </w:p>
    <w:p>
      <w:pPr>
        <w:pStyle w:val="Heading2"/>
      </w:pPr>
      <w:r>
        <w:t>New York’s Threat Profile</w:t>
      </w:r>
    </w:p>
    <w:p>
      <w:r>
        <w:t>New York faces a concentration of scenarios where the gap between alert delivery and actionable escape information is most dangerous:</w:t>
      </w:r>
    </w:p>
    <w:p>
      <w:pPr>
        <w:pStyle w:val="ListBullet"/>
      </w:pPr>
      <w:r>
        <w:rPr>
          <w:b/>
        </w:rPr>
        <w:t xml:space="preserve">High-rise emergencies and terrorist attacks. </w:t>
      </w:r>
      <w:r>
        <w:t>New York has more high-rise occupants than any other state. In a building emergency, people above the incident floor need real-time escape routing, not a broadcast alert. Beacon is the mechanism to push stairwell status, floor conditions, and evacuation instructions directly to the people who need them.</w:t>
      </w:r>
    </w:p>
    <w:p>
      <w:pPr>
        <w:pStyle w:val="ListBullet"/>
      </w:pPr>
      <w:r>
        <w:rPr>
          <w:b/>
        </w:rPr>
        <w:t xml:space="preserve">Hurricane-driven cascading failures. </w:t>
      </w:r>
      <w:r>
        <w:t>During Hurricane Sandy, Breezy Point experienced simultaneous storm surge flooding and a 130-structure fire caused by saltwater electrical shorts. Residents were trapped between converging hazards with no information about which direction was safe. Beacon’s spatial awareness layer shows both hazard boundaries relative to the user’s position in real time.</w:t>
      </w:r>
    </w:p>
    <w:p>
      <w:pPr>
        <w:pStyle w:val="ListBullet"/>
      </w:pPr>
      <w:r>
        <w:rPr>
          <w:b/>
        </w:rPr>
        <w:t xml:space="preserve">Density and vulnerable populations. </w:t>
      </w:r>
      <w:r>
        <w:t>New York City has 8.3 million residents, significant non-English-speaking populations, and aging infrastructure. Generic county-wide alerts are insufficient. Location-specific, multilingual guidance pushed to individual devices reaches people that broadcast systems miss.</w:t>
      </w:r>
    </w:p>
    <w:p>
      <w:pPr>
        <w:pStyle w:val="Heading2"/>
      </w:pPr>
      <w:r>
        <w:t>Alignment with NGWSGP Objectives</w:t>
      </w:r>
    </w:p>
    <w:tbl>
      <w:tblPr>
        <w:tblW w:type="auto" w:w="0"/>
        <w:jc w:val="center"/>
        <w:tblLook w:firstColumn="1" w:firstRow="1" w:lastColumn="0" w:lastRow="0" w:noHBand="0" w:noVBand="1" w:val="04A0"/>
      </w:tblPr>
      <w:tblGrid>
        <w:gridCol w:w="4680"/>
        <w:gridCol w:w="4680"/>
      </w:tblGrid>
      <w:tr>
        <w:tc>
          <w:tcPr>
            <w:tcW w:type="dxa" w:w="3600"/>
            <w:shd w:fill="1B3A5C" w:val="clear"/>
            <w:tcMar>
              <w:top w:w="60" w:type="dxa"/>
              <w:bottom w:w="60" w:type="dxa"/>
              <w:start w:w="100" w:type="dxa"/>
              <w:end w:w="100" w:type="dxa"/>
            </w:tcMar>
          </w:tcPr>
          <w:p>
            <w:r/>
            <w:r>
              <w:rPr>
                <w:rFonts w:ascii="Arial" w:hAnsi="Arial"/>
                <w:b/>
                <w:color w:val="FFFFFF"/>
                <w:sz w:val="20"/>
              </w:rPr>
              <w:t>NGWSGP Priority</w:t>
            </w:r>
          </w:p>
        </w:tc>
        <w:tc>
          <w:tcPr>
            <w:tcW w:type="dxa" w:w="5760"/>
            <w:shd w:fill="1B3A5C" w:val="clear"/>
            <w:tcMar>
              <w:top w:w="60" w:type="dxa"/>
              <w:bottom w:w="60" w:type="dxa"/>
              <w:start w:w="100" w:type="dxa"/>
              <w:end w:w="100" w:type="dxa"/>
            </w:tcMar>
          </w:tcPr>
          <w:p>
            <w:r/>
            <w:r>
              <w:rPr>
                <w:rFonts w:ascii="Arial" w:hAnsi="Arial"/>
                <w:b/>
                <w:color w:val="FFFFFF"/>
                <w:sz w:val="20"/>
              </w:rPr>
              <w:t>Beacon Capability</w:t>
            </w:r>
          </w:p>
        </w:tc>
      </w:tr>
      <w:tr>
        <w:tc>
          <w:tcPr>
            <w:tcW w:type="dxa" w:w="3600"/>
            <w:tcMar>
              <w:top w:w="60" w:type="dxa"/>
              <w:bottom w:w="60" w:type="dxa"/>
              <w:start w:w="100" w:type="dxa"/>
              <w:end w:w="100" w:type="dxa"/>
            </w:tcMar>
            <w:shd w:fill="F0F4F8" w:val="clear"/>
          </w:tcPr>
          <w:p>
            <w:r/>
            <w:r>
              <w:rPr>
                <w:rFonts w:ascii="Arial" w:hAnsi="Arial"/>
                <w:sz w:val="20"/>
              </w:rPr>
              <w:t>Last-mile alert delivery</w:t>
            </w:r>
          </w:p>
        </w:tc>
        <w:tc>
          <w:tcPr>
            <w:tcW w:type="dxa" w:w="5760"/>
            <w:tcMar>
              <w:top w:w="60" w:type="dxa"/>
              <w:bottom w:w="60" w:type="dxa"/>
              <w:start w:w="100" w:type="dxa"/>
              <w:end w:w="100" w:type="dxa"/>
            </w:tcMar>
            <w:shd w:fill="F0F4F8" w:val="clear"/>
          </w:tcPr>
          <w:p>
            <w:r/>
            <w:r>
              <w:rPr>
                <w:rFonts w:ascii="Arial" w:hAnsi="Arial"/>
                <w:sz w:val="20"/>
              </w:rPr>
              <w:t>Location-specific alerts with real-time spatial context. Users see their position relative to the hazard, not a generic text message.</w:t>
            </w:r>
          </w:p>
        </w:tc>
      </w:tr>
      <w:tr>
        <w:tc>
          <w:tcPr>
            <w:tcW w:type="dxa" w:w="3600"/>
            <w:tcMar>
              <w:top w:w="60" w:type="dxa"/>
              <w:bottom w:w="60" w:type="dxa"/>
              <w:start w:w="100" w:type="dxa"/>
              <w:end w:w="100" w:type="dxa"/>
            </w:tcMar>
          </w:tcPr>
          <w:p>
            <w:r/>
            <w:r>
              <w:rPr>
                <w:rFonts w:ascii="Arial" w:hAnsi="Arial"/>
                <w:sz w:val="20"/>
              </w:rPr>
              <w:t>Reaching underserved populations</w:t>
            </w:r>
          </w:p>
        </w:tc>
        <w:tc>
          <w:tcPr>
            <w:tcW w:type="dxa" w:w="5760"/>
            <w:tcMar>
              <w:top w:w="60" w:type="dxa"/>
              <w:bottom w:w="60" w:type="dxa"/>
              <w:start w:w="100" w:type="dxa"/>
              <w:end w:w="100" w:type="dxa"/>
            </w:tcMar>
          </w:tcPr>
          <w:p>
            <w:r/>
            <w:r>
              <w:rPr>
                <w:rFonts w:ascii="Arial" w:hAnsi="Arial"/>
                <w:sz w:val="20"/>
              </w:rPr>
              <w:t>Free, no subscription. Designed for multilingual delivery and offline-capable architecture (mesh networking planned).</w:t>
            </w:r>
          </w:p>
        </w:tc>
      </w:tr>
      <w:tr>
        <w:tc>
          <w:tcPr>
            <w:tcW w:type="dxa" w:w="3600"/>
            <w:tcMar>
              <w:top w:w="60" w:type="dxa"/>
              <w:bottom w:w="60" w:type="dxa"/>
              <w:start w:w="100" w:type="dxa"/>
              <w:end w:w="100" w:type="dxa"/>
            </w:tcMar>
            <w:shd w:fill="F0F4F8" w:val="clear"/>
          </w:tcPr>
          <w:p>
            <w:r/>
            <w:r>
              <w:rPr>
                <w:rFonts w:ascii="Arial" w:hAnsi="Arial"/>
                <w:sz w:val="20"/>
              </w:rPr>
              <w:t>Bidirectional communication</w:t>
            </w:r>
          </w:p>
        </w:tc>
        <w:tc>
          <w:tcPr>
            <w:tcW w:type="dxa" w:w="5760"/>
            <w:tcMar>
              <w:top w:w="60" w:type="dxa"/>
              <w:bottom w:w="60" w:type="dxa"/>
              <w:start w:w="100" w:type="dxa"/>
              <w:end w:w="100" w:type="dxa"/>
            </w:tcMar>
            <w:shd w:fill="F0F4F8" w:val="clear"/>
          </w:tcPr>
          <w:p>
            <w:r/>
            <w:r>
              <w:rPr>
                <w:rFonts w:ascii="Arial" w:hAnsi="Arial"/>
                <w:sz w:val="20"/>
              </w:rPr>
              <w:t>Status confirmation + real-time escape routing turns one-way alerts into a two-way system between responders and the public.</w:t>
            </w:r>
          </w:p>
        </w:tc>
      </w:tr>
      <w:tr>
        <w:tc>
          <w:tcPr>
            <w:tcW w:type="dxa" w:w="3600"/>
            <w:tcMar>
              <w:top w:w="60" w:type="dxa"/>
              <w:bottom w:w="60" w:type="dxa"/>
              <w:start w:w="100" w:type="dxa"/>
              <w:end w:w="100" w:type="dxa"/>
            </w:tcMar>
          </w:tcPr>
          <w:p>
            <w:r/>
            <w:r>
              <w:rPr>
                <w:rFonts w:ascii="Arial" w:hAnsi="Arial"/>
                <w:sz w:val="20"/>
              </w:rPr>
              <w:t>Integration with existing systems</w:t>
            </w:r>
          </w:p>
        </w:tc>
        <w:tc>
          <w:tcPr>
            <w:tcW w:type="dxa" w:w="5760"/>
            <w:tcMar>
              <w:top w:w="60" w:type="dxa"/>
              <w:bottom w:w="60" w:type="dxa"/>
              <w:start w:w="100" w:type="dxa"/>
              <w:end w:w="100" w:type="dxa"/>
            </w:tcMar>
          </w:tcPr>
          <w:p>
            <w:r/>
            <w:r>
              <w:rPr>
                <w:rFonts w:ascii="Arial" w:hAnsi="Arial"/>
                <w:sz w:val="20"/>
              </w:rPr>
              <w:t>Ingests NWS CAP, USGS, NIFC, and IPAWS feeds. Extends existing infrastructure rather than replacing it.</w:t>
            </w:r>
          </w:p>
        </w:tc>
      </w:tr>
      <w:tr>
        <w:tc>
          <w:tcPr>
            <w:tcW w:type="dxa" w:w="3600"/>
            <w:tcMar>
              <w:top w:w="60" w:type="dxa"/>
              <w:bottom w:w="60" w:type="dxa"/>
              <w:start w:w="100" w:type="dxa"/>
              <w:end w:w="100" w:type="dxa"/>
            </w:tcMar>
            <w:shd w:fill="F0F4F8" w:val="clear"/>
          </w:tcPr>
          <w:p>
            <w:r/>
            <w:r>
              <w:rPr>
                <w:rFonts w:ascii="Arial" w:hAnsi="Arial"/>
                <w:sz w:val="20"/>
              </w:rPr>
              <w:t>Measurable outcomes</w:t>
            </w:r>
          </w:p>
        </w:tc>
        <w:tc>
          <w:tcPr>
            <w:tcW w:type="dxa" w:w="5760"/>
            <w:tcMar>
              <w:top w:w="60" w:type="dxa"/>
              <w:bottom w:w="60" w:type="dxa"/>
              <w:start w:w="100" w:type="dxa"/>
              <w:end w:w="100" w:type="dxa"/>
            </w:tcMar>
            <w:shd w:fill="F0F4F8" w:val="clear"/>
          </w:tcPr>
          <w:p>
            <w:r/>
            <w:r>
              <w:rPr>
                <w:rFonts w:ascii="Arial" w:hAnsi="Arial"/>
                <w:sz w:val="20"/>
              </w:rPr>
              <w:t>Every status check produces auditable data: delivery rates, response times, coverage gaps, and floor-by-floor accountability.</w:t>
            </w:r>
          </w:p>
        </w:tc>
      </w:tr>
    </w:tbl>
    <w:p>
      <w:pPr>
        <w:pStyle w:val="Heading2"/>
      </w:pPr>
      <w:r>
        <w:t>Proposed Budget</w:t>
      </w:r>
    </w:p>
    <w:p>
      <w:r>
        <w:rPr>
          <w:b/>
        </w:rPr>
        <w:t>Requested: $400,000–$750,000 over 18 months</w:t>
      </w:r>
    </w:p>
    <w:tbl>
      <w:tblPr>
        <w:tblW w:type="auto" w:w="0"/>
        <w:jc w:val="center"/>
        <w:tblLook w:firstColumn="1" w:firstRow="1" w:lastColumn="0" w:lastRow="0" w:noHBand="0" w:noVBand="1" w:val="04A0"/>
      </w:tblPr>
      <w:tblGrid>
        <w:gridCol w:w="3120"/>
        <w:gridCol w:w="3120"/>
        <w:gridCol w:w="3120"/>
      </w:tblGrid>
      <w:tr>
        <w:tc>
          <w:tcPr>
            <w:tcW w:type="dxa" w:w="4032"/>
            <w:shd w:fill="1B3A5C" w:val="clear"/>
            <w:tcMar>
              <w:top w:w="60" w:type="dxa"/>
              <w:bottom w:w="60" w:type="dxa"/>
              <w:start w:w="100" w:type="dxa"/>
              <w:end w:w="100" w:type="dxa"/>
            </w:tcMar>
          </w:tcPr>
          <w:p>
            <w:r/>
            <w:r>
              <w:rPr>
                <w:rFonts w:ascii="Arial" w:hAnsi="Arial"/>
                <w:b/>
                <w:color w:val="FFFFFF"/>
                <w:sz w:val="20"/>
              </w:rPr>
              <w:t>Line Item</w:t>
            </w:r>
          </w:p>
        </w:tc>
        <w:tc>
          <w:tcPr>
            <w:tcW w:type="dxa" w:w="1584"/>
            <w:shd w:fill="1B3A5C" w:val="clear"/>
            <w:tcMar>
              <w:top w:w="60" w:type="dxa"/>
              <w:bottom w:w="60" w:type="dxa"/>
              <w:start w:w="100" w:type="dxa"/>
              <w:end w:w="100" w:type="dxa"/>
            </w:tcMar>
          </w:tcPr>
          <w:p>
            <w:r/>
            <w:r>
              <w:rPr>
                <w:rFonts w:ascii="Arial" w:hAnsi="Arial"/>
                <w:b/>
                <w:color w:val="FFFFFF"/>
                <w:sz w:val="20"/>
              </w:rPr>
              <w:t>Amount</w:t>
            </w:r>
          </w:p>
        </w:tc>
        <w:tc>
          <w:tcPr>
            <w:tcW w:type="dxa" w:w="3744"/>
            <w:shd w:fill="1B3A5C" w:val="clear"/>
            <w:tcMar>
              <w:top w:w="60" w:type="dxa"/>
              <w:bottom w:w="60" w:type="dxa"/>
              <w:start w:w="100" w:type="dxa"/>
              <w:end w:w="100" w:type="dxa"/>
            </w:tcMar>
          </w:tcPr>
          <w:p>
            <w:r/>
            <w:r>
              <w:rPr>
                <w:rFonts w:ascii="Arial" w:hAnsi="Arial"/>
                <w:b/>
                <w:color w:val="FFFFFF"/>
                <w:sz w:val="20"/>
              </w:rPr>
              <w:t>Purpose</w:t>
            </w:r>
          </w:p>
        </w:tc>
      </w:tr>
      <w:tr>
        <w:tc>
          <w:tcPr>
            <w:tcW w:type="dxa" w:w="4032"/>
            <w:tcMar>
              <w:top w:w="60" w:type="dxa"/>
              <w:bottom w:w="60" w:type="dxa"/>
              <w:start w:w="100" w:type="dxa"/>
              <w:end w:w="100" w:type="dxa"/>
            </w:tcMar>
            <w:shd w:fill="F0F4F8" w:val="clear"/>
          </w:tcPr>
          <w:p>
            <w:r/>
            <w:r>
              <w:rPr>
                <w:rFonts w:ascii="Arial" w:hAnsi="Arial"/>
                <w:sz w:val="20"/>
              </w:rPr>
              <w:t>Real-time escape routing system</w:t>
            </w:r>
          </w:p>
        </w:tc>
        <w:tc>
          <w:tcPr>
            <w:tcW w:type="dxa" w:w="1584"/>
            <w:tcMar>
              <w:top w:w="60" w:type="dxa"/>
              <w:bottom w:w="60" w:type="dxa"/>
              <w:start w:w="100" w:type="dxa"/>
              <w:end w:w="100" w:type="dxa"/>
            </w:tcMar>
            <w:shd w:fill="F0F4F8" w:val="clear"/>
          </w:tcPr>
          <w:p>
            <w:r/>
            <w:r>
              <w:rPr>
                <w:rFonts w:ascii="Arial" w:hAnsi="Arial"/>
                <w:sz w:val="20"/>
              </w:rPr>
              <w:t>$100–180K</w:t>
            </w:r>
          </w:p>
        </w:tc>
        <w:tc>
          <w:tcPr>
            <w:tcW w:type="dxa" w:w="3744"/>
            <w:tcMar>
              <w:top w:w="60" w:type="dxa"/>
              <w:bottom w:w="60" w:type="dxa"/>
              <w:start w:w="100" w:type="dxa"/>
              <w:end w:w="100" w:type="dxa"/>
            </w:tcMar>
            <w:shd w:fill="F0F4F8" w:val="clear"/>
          </w:tcPr>
          <w:p>
            <w:r/>
            <w:r>
              <w:rPr>
                <w:rFonts w:ascii="Arial" w:hAnsi="Arial"/>
                <w:sz w:val="20"/>
              </w:rPr>
              <w:t>Core NGWSGP deliverable</w:t>
            </w:r>
          </w:p>
        </w:tc>
      </w:tr>
      <w:tr>
        <w:tc>
          <w:tcPr>
            <w:tcW w:type="dxa" w:w="4032"/>
            <w:tcMar>
              <w:top w:w="60" w:type="dxa"/>
              <w:bottom w:w="60" w:type="dxa"/>
              <w:start w:w="100" w:type="dxa"/>
              <w:end w:w="100" w:type="dxa"/>
            </w:tcMar>
          </w:tcPr>
          <w:p>
            <w:r/>
            <w:r>
              <w:rPr>
                <w:rFonts w:ascii="Arial" w:hAnsi="Arial"/>
                <w:sz w:val="20"/>
              </w:rPr>
              <w:t>Geofenced status check (beta to production)</w:t>
            </w:r>
          </w:p>
        </w:tc>
        <w:tc>
          <w:tcPr>
            <w:tcW w:type="dxa" w:w="1584"/>
            <w:tcMar>
              <w:top w:w="60" w:type="dxa"/>
              <w:bottom w:w="60" w:type="dxa"/>
              <w:start w:w="100" w:type="dxa"/>
              <w:end w:w="100" w:type="dxa"/>
            </w:tcMar>
          </w:tcPr>
          <w:p>
            <w:r/>
            <w:r>
              <w:rPr>
                <w:rFonts w:ascii="Arial" w:hAnsi="Arial"/>
                <w:sz w:val="20"/>
              </w:rPr>
              <w:t>$60–100K</w:t>
            </w:r>
          </w:p>
        </w:tc>
        <w:tc>
          <w:tcPr>
            <w:tcW w:type="dxa" w:w="3744"/>
            <w:tcMar>
              <w:top w:w="60" w:type="dxa"/>
              <w:bottom w:w="60" w:type="dxa"/>
              <w:start w:w="100" w:type="dxa"/>
              <w:end w:w="100" w:type="dxa"/>
            </w:tcMar>
          </w:tcPr>
          <w:p>
            <w:r/>
            <w:r>
              <w:rPr>
                <w:rFonts w:ascii="Arial" w:hAnsi="Arial"/>
                <w:sz w:val="20"/>
              </w:rPr>
              <w:t>Bidirectional accountability</w:t>
            </w:r>
          </w:p>
        </w:tc>
      </w:tr>
      <w:tr>
        <w:tc>
          <w:tcPr>
            <w:tcW w:type="dxa" w:w="4032"/>
            <w:tcMar>
              <w:top w:w="60" w:type="dxa"/>
              <w:bottom w:w="60" w:type="dxa"/>
              <w:start w:w="100" w:type="dxa"/>
              <w:end w:w="100" w:type="dxa"/>
            </w:tcMar>
            <w:shd w:fill="F0F4F8" w:val="clear"/>
          </w:tcPr>
          <w:p>
            <w:r/>
            <w:r>
              <w:rPr>
                <w:rFonts w:ascii="Arial" w:hAnsi="Arial"/>
                <w:sz w:val="20"/>
              </w:rPr>
              <w:t>IPAWS bidirectional integration</w:t>
            </w:r>
          </w:p>
        </w:tc>
        <w:tc>
          <w:tcPr>
            <w:tcW w:type="dxa" w:w="1584"/>
            <w:tcMar>
              <w:top w:w="60" w:type="dxa"/>
              <w:bottom w:w="60" w:type="dxa"/>
              <w:start w:w="100" w:type="dxa"/>
              <w:end w:w="100" w:type="dxa"/>
            </w:tcMar>
            <w:shd w:fill="F0F4F8" w:val="clear"/>
          </w:tcPr>
          <w:p>
            <w:r/>
            <w:r>
              <w:rPr>
                <w:rFonts w:ascii="Arial" w:hAnsi="Arial"/>
                <w:sz w:val="20"/>
              </w:rPr>
              <w:t>$40–70K</w:t>
            </w:r>
          </w:p>
        </w:tc>
        <w:tc>
          <w:tcPr>
            <w:tcW w:type="dxa" w:w="3744"/>
            <w:tcMar>
              <w:top w:w="60" w:type="dxa"/>
              <w:bottom w:w="60" w:type="dxa"/>
              <w:start w:w="100" w:type="dxa"/>
              <w:end w:w="100" w:type="dxa"/>
            </w:tcMar>
            <w:shd w:fill="F0F4F8" w:val="clear"/>
          </w:tcPr>
          <w:p>
            <w:r/>
            <w:r>
              <w:rPr>
                <w:rFonts w:ascii="Arial" w:hAnsi="Arial"/>
                <w:sz w:val="20"/>
              </w:rPr>
              <w:t>Alert ingestion + status feedback</w:t>
            </w:r>
          </w:p>
        </w:tc>
      </w:tr>
      <w:tr>
        <w:tc>
          <w:tcPr>
            <w:tcW w:type="dxa" w:w="4032"/>
            <w:tcMar>
              <w:top w:w="60" w:type="dxa"/>
              <w:bottom w:w="60" w:type="dxa"/>
              <w:start w:w="100" w:type="dxa"/>
              <w:end w:w="100" w:type="dxa"/>
            </w:tcMar>
          </w:tcPr>
          <w:p>
            <w:r/>
            <w:r>
              <w:rPr>
                <w:rFonts w:ascii="Arial" w:hAnsi="Arial"/>
                <w:sz w:val="20"/>
              </w:rPr>
              <w:t>Legal and compliance review</w:t>
            </w:r>
          </w:p>
        </w:tc>
        <w:tc>
          <w:tcPr>
            <w:tcW w:type="dxa" w:w="1584"/>
            <w:tcMar>
              <w:top w:w="60" w:type="dxa"/>
              <w:bottom w:w="60" w:type="dxa"/>
              <w:start w:w="100" w:type="dxa"/>
              <w:end w:w="100" w:type="dxa"/>
            </w:tcMar>
          </w:tcPr>
          <w:p>
            <w:r/>
            <w:r>
              <w:rPr>
                <w:rFonts w:ascii="Arial" w:hAnsi="Arial"/>
                <w:sz w:val="20"/>
              </w:rPr>
              <w:t>$30–50K</w:t>
            </w:r>
          </w:p>
        </w:tc>
        <w:tc>
          <w:tcPr>
            <w:tcW w:type="dxa" w:w="3744"/>
            <w:tcMar>
              <w:top w:w="60" w:type="dxa"/>
              <w:bottom w:w="60" w:type="dxa"/>
              <w:start w:w="100" w:type="dxa"/>
              <w:end w:w="100" w:type="dxa"/>
            </w:tcMar>
          </w:tcPr>
          <w:p>
            <w:r/>
            <w:r>
              <w:rPr>
                <w:rFonts w:ascii="Arial" w:hAnsi="Arial"/>
                <w:sz w:val="20"/>
              </w:rPr>
              <w:t>ToS, privacy, Good Samaritan, consent framework</w:t>
            </w:r>
          </w:p>
        </w:tc>
      </w:tr>
      <w:tr>
        <w:tc>
          <w:tcPr>
            <w:tcW w:type="dxa" w:w="4032"/>
            <w:tcMar>
              <w:top w:w="60" w:type="dxa"/>
              <w:bottom w:w="60" w:type="dxa"/>
              <w:start w:w="100" w:type="dxa"/>
              <w:end w:w="100" w:type="dxa"/>
            </w:tcMar>
            <w:shd w:fill="F0F4F8" w:val="clear"/>
          </w:tcPr>
          <w:p>
            <w:r/>
            <w:r>
              <w:rPr>
                <w:rFonts w:ascii="Arial" w:hAnsi="Arial"/>
                <w:sz w:val="20"/>
              </w:rPr>
              <w:t>Load testing (100K+ concurrent)</w:t>
            </w:r>
          </w:p>
        </w:tc>
        <w:tc>
          <w:tcPr>
            <w:tcW w:type="dxa" w:w="1584"/>
            <w:tcMar>
              <w:top w:w="60" w:type="dxa"/>
              <w:bottom w:w="60" w:type="dxa"/>
              <w:start w:w="100" w:type="dxa"/>
              <w:end w:w="100" w:type="dxa"/>
            </w:tcMar>
            <w:shd w:fill="F0F4F8" w:val="clear"/>
          </w:tcPr>
          <w:p>
            <w:r/>
            <w:r>
              <w:rPr>
                <w:rFonts w:ascii="Arial" w:hAnsi="Arial"/>
                <w:sz w:val="20"/>
              </w:rPr>
              <w:t>$15–30K</w:t>
            </w:r>
          </w:p>
        </w:tc>
        <w:tc>
          <w:tcPr>
            <w:tcW w:type="dxa" w:w="3744"/>
            <w:tcMar>
              <w:top w:w="60" w:type="dxa"/>
              <w:bottom w:w="60" w:type="dxa"/>
              <w:start w:w="100" w:type="dxa"/>
              <w:end w:w="100" w:type="dxa"/>
            </w:tcMar>
            <w:shd w:fill="F0F4F8" w:val="clear"/>
          </w:tcPr>
          <w:p>
            <w:r/>
            <w:r>
              <w:rPr>
                <w:rFonts w:ascii="Arial" w:hAnsi="Arial"/>
                <w:sz w:val="20"/>
              </w:rPr>
              <w:t>Disaster-scale validation</w:t>
            </w:r>
          </w:p>
        </w:tc>
      </w:tr>
      <w:tr>
        <w:tc>
          <w:tcPr>
            <w:tcW w:type="dxa" w:w="4032"/>
            <w:tcMar>
              <w:top w:w="60" w:type="dxa"/>
              <w:bottom w:w="60" w:type="dxa"/>
              <w:start w:w="100" w:type="dxa"/>
              <w:end w:w="100" w:type="dxa"/>
            </w:tcMar>
          </w:tcPr>
          <w:p>
            <w:r/>
            <w:r>
              <w:rPr>
                <w:rFonts w:ascii="Arial" w:hAnsi="Arial"/>
                <w:sz w:val="20"/>
              </w:rPr>
              <w:t>Community pilot (2–3 NY counties)</w:t>
            </w:r>
          </w:p>
        </w:tc>
        <w:tc>
          <w:tcPr>
            <w:tcW w:type="dxa" w:w="1584"/>
            <w:tcMar>
              <w:top w:w="60" w:type="dxa"/>
              <w:bottom w:w="60" w:type="dxa"/>
              <w:start w:w="100" w:type="dxa"/>
              <w:end w:w="100" w:type="dxa"/>
            </w:tcMar>
          </w:tcPr>
          <w:p>
            <w:r/>
            <w:r>
              <w:rPr>
                <w:rFonts w:ascii="Arial" w:hAnsi="Arial"/>
                <w:sz w:val="20"/>
              </w:rPr>
              <w:t>$80–150K</w:t>
            </w:r>
          </w:p>
        </w:tc>
        <w:tc>
          <w:tcPr>
            <w:tcW w:type="dxa" w:w="3744"/>
            <w:tcMar>
              <w:top w:w="60" w:type="dxa"/>
              <w:bottom w:w="60" w:type="dxa"/>
              <w:start w:w="100" w:type="dxa"/>
              <w:end w:w="100" w:type="dxa"/>
            </w:tcMar>
          </w:tcPr>
          <w:p>
            <w:r/>
            <w:r>
              <w:rPr>
                <w:rFonts w:ascii="Arial" w:hAnsi="Arial"/>
                <w:sz w:val="20"/>
              </w:rPr>
              <w:t>Onboarding, training, live EMS exercise</w:t>
            </w:r>
          </w:p>
        </w:tc>
      </w:tr>
      <w:tr>
        <w:tc>
          <w:tcPr>
            <w:tcW w:type="dxa" w:w="4032"/>
            <w:tcMar>
              <w:top w:w="60" w:type="dxa"/>
              <w:bottom w:w="60" w:type="dxa"/>
              <w:start w:w="100" w:type="dxa"/>
              <w:end w:w="100" w:type="dxa"/>
            </w:tcMar>
            <w:shd w:fill="F0F4F8" w:val="clear"/>
          </w:tcPr>
          <w:p>
            <w:r/>
            <w:r>
              <w:rPr>
                <w:rFonts w:ascii="Arial" w:hAnsi="Arial"/>
                <w:sz w:val="20"/>
              </w:rPr>
              <w:t>Personnel (12 months)</w:t>
            </w:r>
          </w:p>
        </w:tc>
        <w:tc>
          <w:tcPr>
            <w:tcW w:type="dxa" w:w="1584"/>
            <w:tcMar>
              <w:top w:w="60" w:type="dxa"/>
              <w:bottom w:w="60" w:type="dxa"/>
              <w:start w:w="100" w:type="dxa"/>
              <w:end w:w="100" w:type="dxa"/>
            </w:tcMar>
            <w:shd w:fill="F0F4F8" w:val="clear"/>
          </w:tcPr>
          <w:p>
            <w:r/>
            <w:r>
              <w:rPr>
                <w:rFonts w:ascii="Arial" w:hAnsi="Arial"/>
                <w:sz w:val="20"/>
              </w:rPr>
              <w:t>$120–150K</w:t>
            </w:r>
          </w:p>
        </w:tc>
        <w:tc>
          <w:tcPr>
            <w:tcW w:type="dxa" w:w="3744"/>
            <w:tcMar>
              <w:top w:w="60" w:type="dxa"/>
              <w:bottom w:w="60" w:type="dxa"/>
              <w:start w:w="100" w:type="dxa"/>
              <w:end w:w="100" w:type="dxa"/>
            </w:tcMar>
            <w:shd w:fill="F0F4F8" w:val="clear"/>
          </w:tcPr>
          <w:p>
            <w:r/>
            <w:r>
              <w:rPr>
                <w:rFonts w:ascii="Arial" w:hAnsi="Arial"/>
                <w:sz w:val="20"/>
              </w:rPr>
              <w:t>Development and operations</w:t>
            </w:r>
          </w:p>
        </w:tc>
      </w:tr>
    </w:tbl>
    <w:p>
      <w:pPr>
        <w:pStyle w:val="Heading2"/>
      </w:pPr>
      <w:r>
        <w:t>Proposed Pilot</w:t>
      </w:r>
    </w:p>
    <w:p>
      <w:r>
        <w:t>Beacon proposes an 18-month pilot with 2–3 partners: a New York City high-rise district (testing escape routing and status check in vertical evacuations), and one or two downstate coastal counties (testing hurricane/flood situational awareness and status confirmation). The pilot would:</w:t>
      </w:r>
    </w:p>
    <w:p>
      <w:pPr>
        <w:pStyle w:val="ListBullet"/>
      </w:pPr>
      <w:r>
        <w:t>Deploy Beacon to building occupants and coastal residents through partner emergency management offices</w:t>
      </w:r>
    </w:p>
    <w:p>
      <w:pPr>
        <w:pStyle w:val="ListBullet"/>
      </w:pPr>
      <w:r>
        <w:t>Conduct a tabletop exercise simulating a high-rise incident with real-time escape routing</w:t>
      </w:r>
    </w:p>
    <w:p>
      <w:pPr>
        <w:pStyle w:val="ListBullet"/>
      </w:pPr>
      <w:r>
        <w:t>Conduct a live exercise with county EMS using geofenced status checks during a flood drill</w:t>
      </w:r>
    </w:p>
    <w:p>
      <w:pPr>
        <w:pStyle w:val="ListBullet"/>
      </w:pPr>
      <w:r>
        <w:t>Measure: alert delivery rate, status confirmation rate, response time, and floor-by-floor accountability</w:t>
      </w:r>
    </w:p>
    <w:p>
      <w:pPr>
        <w:pStyle w:val="ListBullet"/>
      </w:pPr>
      <w:r>
        <w:t>Produce an after-action report to support New York’s future NGWSGP, BRIC, and UASI applications</w:t>
      </w:r>
    </w:p>
    <w:p>
      <w:pPr>
        <w:pStyle w:val="Heading2"/>
      </w:pPr>
      <w:r>
        <w:t>Sustainability</w:t>
      </w:r>
    </w:p>
    <w:p>
      <w:r>
        <w:t>The public version of Beacon is free, permanently. Revenue comes from EMS agency subscriptions ($2,000–$10,000/month by jurisdiction size) and state emergency management contracts. Grant funding builds the capability; the subscription model sustains it.</w:t>
      </w:r>
    </w:p>
    <w:p>
      <w:pPr>
        <w:spacing w:before="320"/>
        <w:pBdr>
          <w:bottom w:val="single" w:sz="6" w:color="1B3A5C" w:space="4"/>
        </w:pBdr>
      </w:pPr>
    </w:p>
    <w:p>
      <w:r>
        <w:rPr>
          <w:b/>
          <w:color w:val="1B3A5C"/>
          <w:sz w:val="24"/>
        </w:rPr>
        <w:t>Contact</w:t>
      </w:r>
    </w:p>
    <w:p>
      <w:r>
        <w:rPr>
          <w:b/>
        </w:rPr>
        <w:t>Kristin Mullaney</w:t>
      </w:r>
      <w:r>
        <w:t xml:space="preserve">  |  Founder, Beacon</w:t>
      </w:r>
    </w:p>
    <w:p>
      <w:r>
        <w:t>kristin.mullaney@outlook.com</w:t>
      </w:r>
    </w:p>
    <w:p>
      <w:r>
        <w:rPr>
          <w:i/>
          <w:color w:val="666666"/>
        </w:rPr>
        <w:t>Live demo available upon request.</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