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BEACON: LIQUEFACTION</w:t>
      </w:r>
    </w:p>
    <w:p>
      <w:r>
        <w:t xml:space="preserve">Loss of soil bearing capacity during shaking</w:t>
      </w:r>
    </w:p>
    <w:p/>
    <w:p>
      <w:pPr>
        <w:pStyle w:val="Heading1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Liquefaction Zones (Zhu et al.)</w:t>
      </w:r>
    </w:p>
    <w:p>
      <w:pPr>
        <w:pStyle w:val="ListParagraph"/>
        <w:numPr>
          <w:ilvl w:val="0"/>
          <w:numId w:val="1"/>
        </w:numPr>
      </w:pPr>
      <w:r>
        <w:t xml:space="preserve">Vs30 velocity model</w:t>
      </w:r>
    </w:p>
    <w:p>
      <w:pPr>
        <w:pStyle w:val="ListParagraph"/>
        <w:numPr>
          <w:ilvl w:val="0"/>
          <w:numId w:val="1"/>
        </w:numPr>
      </w:pPr>
      <w:r>
        <w:t xml:space="preserve">Historical liquefaction events</w:t>
      </w:r>
    </w:p>
    <w:p>
      <w:pPr>
        <w:pStyle w:val="ListParagraph"/>
        <w:numPr>
          <w:ilvl w:val="0"/>
          <w:numId w:val="1"/>
        </w:numPr>
      </w:pPr>
      <w:r>
        <w:t xml:space="preserve">Building foundation type</w:t>
      </w:r>
    </w:p>
    <w:p>
      <w:pPr>
        <w:pStyle w:val="ListParagraph"/>
        <w:numPr>
          <w:ilvl w:val="0"/>
          <w:numId w:val="1"/>
        </w:numPr>
      </w:pPr>
      <w:r>
        <w:t xml:space="preserve">Bay fill/reclaimed land</w:t>
      </w:r>
    </w:p>
    <w:p>
      <w:pPr>
        <w:pStyle w:val="Heading1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t xml:space="preserve">Mw &gt;4.5 within 150km</w:t>
      </w:r>
    </w:p>
    <w:p>
      <w:pPr>
        <w:pStyle w:val="ListParagraph"/>
        <w:numPr>
          <w:ilvl w:val="0"/>
          <w:numId w:val="1"/>
        </w:numPr>
      </w:pPr>
      <w:r>
        <w:t xml:space="preserve">Cyclic stress ratio reaches critical threshold</w:t>
      </w:r>
    </w:p>
    <w:p>
      <w:pPr>
        <w:pStyle w:val="Heading1"/>
      </w:pPr>
      <w: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t xml:space="preserve">Differential settlement tracking</w:t>
      </w:r>
    </w:p>
    <w:p>
      <w:pPr>
        <w:pStyle w:val="ListParagraph"/>
        <w:numPr>
          <w:ilvl w:val="0"/>
          <w:numId w:val="1"/>
        </w:numPr>
      </w:pPr>
      <w:r>
        <w:t xml:space="preserve">Bridge abutment monitoring</w:t>
      </w:r>
    </w:p>
    <w:p>
      <w:pPr>
        <w:pStyle w:val="ListParagraph"/>
        <w:numPr>
          <w:ilvl w:val="0"/>
          <w:numId w:val="1"/>
        </w:numPr>
      </w:pPr>
      <w:r>
        <w:t xml:space="preserve">Critical facility assessment</w:t>
      </w:r>
    </w:p>
    <w:p>
      <w:pPr>
        <w:pStyle w:val="Heading1"/>
      </w:pPr>
      <w: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t xml:space="preserve">Area evacuation (500m radius from LPI&gt;20 zones, 6hr window before aftershocks)</w:t>
      </w:r>
    </w:p>
    <w:p>
      <w:pPr>
        <w:pStyle w:val="ListParagraph"/>
        <w:numPr>
          <w:ilvl w:val="0"/>
          <w:numId w:val="1"/>
        </w:numPr>
      </w:pPr>
      <w:r>
        <w:t xml:space="preserve">Shelter on bedrock (LPI=0)</w:t>
      </w:r>
    </w:p>
    <w:p>
      <w:pPr>
        <w:pStyle w:val="ListParagraph"/>
        <w:numPr>
          <w:ilvl w:val="0"/>
          <w:numId w:val="1"/>
        </w:numPr>
      </w:pPr>
      <w:r>
        <w:t xml:space="preserve">People helping people</w:t>
      </w:r>
    </w:p>
    <w:p>
      <w:pPr>
        <w:pStyle w:val="ListParagraph"/>
        <w:numPr>
          <w:ilvl w:val="0"/>
          <w:numId w:val="1"/>
        </w:numPr>
      </w:pPr>
      <w:r>
        <w:t xml:space="preserve">Public group coordination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2026-03-30T03:25:02.509Z</dcterms:created>
  <dcterms:modified xsi:type="dcterms:W3CDTF">2026-03-30T03:25:02.509Z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