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E3A7B">
      <w:pPr>
        <w:pStyle w:val="3"/>
        <w:tabs>
          <w:tab w:val="left" w:pos="2268"/>
          <w:tab w:val="left" w:pos="4395"/>
          <w:tab w:val="left" w:pos="6663"/>
        </w:tabs>
        <w:jc w:val="center"/>
      </w:pPr>
      <w:r>
        <w:t>2024年高考数学真题(北京卷)</w:t>
      </w:r>
    </w:p>
    <w:p w14:paraId="631A4C9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黑体_GBK"/>
        </w:rPr>
      </w:pPr>
      <w:r>
        <w:rPr>
          <w:rFonts w:ascii="Times New Roman" w:hAnsi="Times New Roman" w:eastAsia="方正黑体_GBK"/>
        </w:rPr>
        <w:t>一、单选题</w:t>
      </w:r>
    </w:p>
    <w:p w14:paraId="2BB3A3E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1.已知集合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|-3&lt;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&lt;1}，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={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|-1≤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&lt;4}，则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等于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297EC9A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|-1≤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&lt;1}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&gt;-3}</w:t>
      </w:r>
    </w:p>
    <w:p w14:paraId="67CD0F1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|-3&lt;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&lt;4}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&lt;4}</w:t>
      </w:r>
    </w:p>
    <w:p w14:paraId="572FD5B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2.若复数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=-1-i，则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等于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122A01C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A.-1-i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B.-1+i</w:t>
      </w:r>
    </w:p>
    <w:p w14:paraId="2AEBD8F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C.1-i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D.1+i</w:t>
      </w:r>
    </w:p>
    <w:p w14:paraId="100F635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3.圆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+6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=0的圆心到直线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+2=0的距离为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73AC5D1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D.3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2FE3A22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4.在(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的展开式中，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的系数为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5A269E0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B.-6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C.12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D.-12</w:t>
      </w:r>
    </w:p>
    <w:p w14:paraId="741F5AB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5.设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是向量，则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)·(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)=0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/>
        </w:rPr>
        <w:t>是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b/>
          <w:i/>
        </w:rPr>
        <w:t>b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0F1E311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A.充分不必要条件</w:t>
      </w:r>
    </w:p>
    <w:p w14:paraId="7D9701E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B.必要不充分条件</w:t>
      </w:r>
    </w:p>
    <w:p w14:paraId="019CB45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C.充要条件</w:t>
      </w:r>
    </w:p>
    <w:p w14:paraId="3BD1368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D.既不充分也不必要条件</w:t>
      </w:r>
    </w:p>
    <w:p w14:paraId="3351372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6.设函数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)=sin </w:t>
      </w:r>
      <w:r>
        <w:rPr>
          <w:rFonts w:ascii="Times New Roman" w:hAnsi="Times New Roman"/>
          <w:i/>
        </w:rPr>
        <w:t>ωx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ω</w:t>
      </w:r>
      <w:r>
        <w:rPr>
          <w:rFonts w:ascii="Times New Roman" w:hAnsi="Times New Roman"/>
        </w:rPr>
        <w:t>&gt;0).已知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)=-1，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)=1，且|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|的最小值为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ω</w:t>
      </w:r>
      <w:r>
        <w:rPr>
          <w:rFonts w:ascii="Times New Roman" w:hAnsi="Times New Roman"/>
        </w:rPr>
        <w:t>等于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2DAD972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D.4</w:t>
      </w:r>
    </w:p>
    <w:p w14:paraId="7BEB13E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7.生物丰富度指数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是河流水质的一个评价指标，其中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分别表示河流中的生物种类数与生物个体总数.生物丰富度指数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越大，水质越好.如果某河流治理前后的生物种类数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没有变化，生物个体总数由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变为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，生物丰富度指数由2.1提高到3.15，则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4B81DF4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A.3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B.2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1</w:t>
      </w:r>
    </w:p>
    <w:p w14:paraId="1FB67B0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</w:rP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</w:rP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</w:p>
    <w:p w14:paraId="62B9DFD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8.如图，在四棱锥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/>
        </w:rPr>
        <w:t>中，底面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/>
        </w:rPr>
        <w:t>是边长为4的正方形，</w:t>
      </w:r>
      <w:r>
        <w:rPr>
          <w:rFonts w:ascii="Times New Roman" w:hAnsi="Times New Roman"/>
          <w:i/>
        </w:rPr>
        <w:t>PA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PB</w:t>
      </w:r>
      <w:r>
        <w:rPr>
          <w:rFonts w:ascii="Times New Roman" w:hAnsi="Times New Roman"/>
        </w:rPr>
        <w:t>=4，</w:t>
      </w:r>
      <w:r>
        <w:rPr>
          <w:rFonts w:ascii="Times New Roman" w:hAnsi="Times New Roman"/>
          <w:i/>
        </w:rPr>
        <w:t>PC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PD</w:t>
      </w:r>
      <w:r>
        <w:rPr>
          <w:rFonts w:ascii="Times New Roman" w:hAnsi="Times New Roman"/>
        </w:rPr>
        <w:t>=2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，该棱锥的高为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2BDFF12F">
      <w:pPr>
        <w:tabs>
          <w:tab w:val="left" w:pos="2268"/>
          <w:tab w:val="left" w:pos="4395"/>
        </w:tabs>
        <w:spacing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</w:rPr>
        <w:drawing>
          <wp:inline distT="0" distB="0" distL="0" distR="0">
            <wp:extent cx="1079500" cy="611505"/>
            <wp:effectExtent l="0" t="0" r="0" b="0"/>
            <wp:docPr id="12" name="image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0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FE1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C.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75532C5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9.已知(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)，(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)是函数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的图象上两个不同的点，则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16DA164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A.log</w:t>
      </w:r>
      <w:r>
        <w:rPr>
          <w:rFonts w:ascii="Times New Roman" w:hAnsi="Times New Roman"/>
          <w:vertAlign w:val="subscript"/>
        </w:rPr>
        <w:t>2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&lt;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24BFB32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B.log</w:t>
      </w:r>
      <w:r>
        <w:rPr>
          <w:rFonts w:ascii="Times New Roman" w:hAnsi="Times New Roman"/>
          <w:vertAlign w:val="subscript"/>
        </w:rPr>
        <w:t>2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&gt;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37A1F7D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C.log</w:t>
      </w:r>
      <w:r>
        <w:rPr>
          <w:rFonts w:ascii="Times New Roman" w:hAnsi="Times New Roman"/>
          <w:vertAlign w:val="subscript"/>
        </w:rPr>
        <w:t>2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</w:p>
    <w:p w14:paraId="5C7C9D9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D.log</w:t>
      </w:r>
      <w:r>
        <w:rPr>
          <w:rFonts w:ascii="Times New Roman" w:hAnsi="Times New Roman"/>
          <w:vertAlign w:val="subscript"/>
        </w:rPr>
        <w:t>2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</w:p>
    <w:p w14:paraId="3A20B84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10.已知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={(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)|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)，1≤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≤2，0≤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≤1}是平面直角坐标系中的点集.设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中两点间的距离的最大值，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表示的图形的面积，则</w:t>
      </w:r>
      <w:r>
        <w:rPr>
          <w:rFonts w:ascii="Times New Roman" w:hAnsi="Times New Roman"/>
        </w:rPr>
        <w:ptab w:relativeTo="margin" w:alignment="right" w:leader="none"/>
      </w:r>
      <w:r>
        <w:rPr>
          <w:rFonts w:ascii="Times New Roman" w:hAnsi="Times New Roman"/>
        </w:rPr>
        <w:t>(　　)</w:t>
      </w:r>
    </w:p>
    <w:p w14:paraId="7686E5D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A.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=3，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&lt;1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B.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=3，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&gt;1</w:t>
      </w:r>
    </w:p>
    <w:p w14:paraId="0D476DB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&lt;1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D.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&gt;1</w:t>
      </w:r>
    </w:p>
    <w:p w14:paraId="06240A2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黑体_GBK"/>
        </w:rPr>
      </w:pPr>
      <w:r>
        <w:rPr>
          <w:rFonts w:ascii="Times New Roman" w:hAnsi="Times New Roman" w:eastAsia="方正黑体_GBK"/>
        </w:rPr>
        <w:t>二、填空题</w:t>
      </w:r>
    </w:p>
    <w:p w14:paraId="490178B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11.抛物线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=16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的焦点坐标为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</w:p>
    <w:p w14:paraId="3AF2F4A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12.在平面直角坐标系</w:t>
      </w:r>
      <w:r>
        <w:rPr>
          <w:rFonts w:ascii="Times New Roman" w:hAnsi="Times New Roman"/>
          <w:i/>
        </w:rPr>
        <w:t>Oxy</w:t>
      </w:r>
      <w:r>
        <w:rPr>
          <w:rFonts w:ascii="Times New Roman" w:hAnsi="Times New Roman"/>
        </w:rPr>
        <w:t>中，角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与角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均以</w:t>
      </w:r>
      <w:r>
        <w:rPr>
          <w:rFonts w:ascii="Times New Roman" w:hAnsi="Times New Roman"/>
          <w:i/>
        </w:rPr>
        <w:t>Ox</w:t>
      </w:r>
      <w:r>
        <w:rPr>
          <w:rFonts w:ascii="Times New Roman" w:hAnsi="Times New Roman"/>
        </w:rPr>
        <w:t>为始边，它们的终边关于原点对称.若</w:t>
      </w:r>
      <w:r>
        <w:rPr>
          <w:rFonts w:ascii="Times New Roman" w:hAnsi="Times New Roman"/>
          <w:i/>
        </w:rPr>
        <w:t>α</w:t>
      </w:r>
      <w:r>
        <w:rPr>
          <w:rFonts w:hint="eastAsia" w:ascii="宋体" w:hAnsi="宋体" w:eastAsia="宋体" w:cs="宋体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/>
        </w:rPr>
        <w:t xml:space="preserve">，则cos 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的最大值为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</w:p>
    <w:p w14:paraId="05A7BFF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13.若直线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-3)与双曲线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=1只有一个公共点，则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的一个取值为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</w:p>
    <w:p w14:paraId="66D2652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14.汉代刘歆设计的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/>
        </w:rPr>
        <w:t>铜嘉量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/>
        </w:rPr>
        <w:t>是龠、合、升、斗、斛五量合一的标准量器，其中升量器、斗量器、斛量器的形状均可视为圆柱.若升、斗、斛量器的容积成公比为10的等比数列，底面直径依次为65 mm，325 mm，325 mm，且斛量器的高为230 mm，则斗量器的高为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mm，升量器的高为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mm.(不计量器的厚度) </w:t>
      </w:r>
    </w:p>
    <w:p w14:paraId="003E299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15.设{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}与{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}是两个不同的无穷数列，且都不是常数列.记集合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={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k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k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k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i/>
          <w:vertAlign w:val="superscript"/>
        </w:rPr>
        <w:t>*</w:t>
      </w:r>
      <w:r>
        <w:rPr>
          <w:rFonts w:ascii="Times New Roman" w:hAnsi="Times New Roman"/>
        </w:rPr>
        <w:t>}，给出下列四个结论：</w:t>
      </w:r>
    </w:p>
    <w:p w14:paraId="209AB5A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/>
        </w:rPr>
        <w:t>若{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}与{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}均为等差数列，则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中最多有1个元素；</w:t>
      </w:r>
    </w:p>
    <w:p w14:paraId="2F6D904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/>
        </w:rPr>
        <w:t>若{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}与{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}均为等比数列，则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中最多有2个元素；</w:t>
      </w:r>
    </w:p>
    <w:p w14:paraId="12E7BC0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/>
        </w:rPr>
        <w:t>若{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}为等差数列，{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}为等比数列，则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中最多有3个元素；</w:t>
      </w:r>
    </w:p>
    <w:p w14:paraId="48023F5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/>
        </w:rPr>
        <w:t>若{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}为递增数列，{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}为递减数列，则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中最多有1个元素.</w:t>
      </w:r>
    </w:p>
    <w:p w14:paraId="70F36E5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其中正确结论的序号是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</w:p>
    <w:p w14:paraId="39143F1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黑体_GBK"/>
        </w:rPr>
      </w:pPr>
      <w:r>
        <w:rPr>
          <w:rFonts w:ascii="Times New Roman" w:hAnsi="Times New Roman" w:eastAsia="方正黑体_GBK"/>
        </w:rPr>
        <w:t>三、解答题</w:t>
      </w:r>
    </w:p>
    <w:p w14:paraId="2B42013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16.在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中，内角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的对边分别为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为钝角，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=7，sin 2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 xml:space="preserve">cos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.</w:t>
      </w:r>
    </w:p>
    <w:p w14:paraId="204CCB0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；</w:t>
      </w:r>
    </w:p>
    <w:p w14:paraId="792AC49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(2)再从条件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/>
        </w:rPr>
        <w:t>、条件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/>
        </w:rPr>
        <w:t>、条件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/>
        </w:rPr>
        <w:t>这三个条件中选择一个作为已知，使得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存在，求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的面积.</w:t>
      </w:r>
    </w:p>
    <w:p w14:paraId="0580ADB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条件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=7；</w:t>
      </w:r>
    </w:p>
    <w:p w14:paraId="3AAD318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条件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/>
        </w:rPr>
        <w:t xml:space="preserve">：cos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；</w:t>
      </w:r>
    </w:p>
    <w:p w14:paraId="4D0847E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条件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 xml:space="preserve">sin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1B20323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楷体_GBK"/>
        </w:rPr>
        <w:t>注：如果选择的条件不符合要求，第(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楷体_GBK"/>
        </w:rPr>
        <w:t>)问得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楷体_GBK"/>
        </w:rPr>
        <w:t>分；如果选择多个符合要求的条件分别解答，按第一个解答计分</w:t>
      </w:r>
      <w:r>
        <w:rPr>
          <w:rFonts w:ascii="Times New Roman" w:hAnsi="Times New Roman"/>
        </w:rPr>
        <w:t>.</w:t>
      </w:r>
    </w:p>
    <w:p w14:paraId="3F9EDAA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17.如图，在四棱锥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/>
        </w:rPr>
        <w:t>中，</w:t>
      </w:r>
      <w:r>
        <w:rPr>
          <w:rFonts w:ascii="Times New Roman" w:hAnsi="Times New Roman"/>
          <w:i/>
        </w:rPr>
        <w:t>BC</w:t>
      </w:r>
      <w:r>
        <w:rPr>
          <w:rFonts w:hint="eastAsia" w:ascii="宋体" w:hAnsi="宋体" w:eastAsia="宋体" w:cs="宋体"/>
        </w:rPr>
        <w:t>∥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=1，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=3，点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上，且</w:t>
      </w:r>
      <w:r>
        <w:rPr>
          <w:rFonts w:ascii="Times New Roman" w:hAnsi="Times New Roman"/>
          <w:i/>
        </w:rPr>
        <w:t>PE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>=2.</w:t>
      </w:r>
    </w:p>
    <w:p w14:paraId="5030480A">
      <w:pPr>
        <w:tabs>
          <w:tab w:val="left" w:pos="2268"/>
          <w:tab w:val="left" w:pos="4395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007745" cy="899795"/>
            <wp:effectExtent l="0" t="0" r="0" b="0"/>
            <wp:docPr id="16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439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为线段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/>
        </w:rPr>
        <w:t>的中点，求证：</w:t>
      </w:r>
      <w:r>
        <w:rPr>
          <w:rFonts w:ascii="Times New Roman" w:hAnsi="Times New Roman"/>
          <w:i/>
        </w:rPr>
        <w:t>BF</w:t>
      </w:r>
      <w:r>
        <w:rPr>
          <w:rFonts w:hint="eastAsia" w:ascii="宋体" w:hAnsi="宋体" w:eastAsia="宋体" w:cs="宋体"/>
        </w:rPr>
        <w:t>∥</w:t>
      </w:r>
      <w:r>
        <w:rPr>
          <w:rFonts w:ascii="Times New Roman" w:hAnsi="Times New Roman"/>
        </w:rPr>
        <w:t>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/>
        </w:rPr>
        <w:t>；</w:t>
      </w:r>
    </w:p>
    <w:p w14:paraId="1F27877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AB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</w:rPr>
        <w:t>平面</w:t>
      </w:r>
      <w:r>
        <w:rPr>
          <w:rFonts w:ascii="Times New Roman" w:hAnsi="Times New Roman"/>
          <w:i/>
        </w:rPr>
        <w:t>PAD</w:t>
      </w:r>
      <w:r>
        <w:rPr>
          <w:rFonts w:ascii="Times New Roman" w:hAnsi="Times New Roman"/>
        </w:rPr>
        <w:t>，求平面</w:t>
      </w:r>
      <w:r>
        <w:rPr>
          <w:rFonts w:ascii="Times New Roman" w:hAnsi="Times New Roman"/>
          <w:i/>
        </w:rPr>
        <w:t>PAB</w:t>
      </w:r>
      <w:r>
        <w:rPr>
          <w:rFonts w:ascii="Times New Roman" w:hAnsi="Times New Roman"/>
        </w:rPr>
        <w:t>与平面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/>
        </w:rPr>
        <w:t>夹角的余弦值</w:t>
      </w:r>
    </w:p>
    <w:p w14:paraId="57CB480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671FB5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DD4837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C9638B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F78271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3F25EF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3875BA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BF84CA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18.某保险公司为了解该公司某种保险产品的索赔情况，从合同保险期限届满的保单中随机抽取1 000份，记录并整理这些保单的索赔情况，获得数据如下表：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660"/>
        <w:gridCol w:w="660"/>
        <w:gridCol w:w="660"/>
        <w:gridCol w:w="660"/>
        <w:gridCol w:w="660"/>
      </w:tblGrid>
      <w:tr w14:paraId="43605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110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7FCB67DD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索赔次数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2E8F9663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244C38A3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598A68A5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407CC09E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4BF32D08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14:paraId="7FA5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110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24BD4D72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保单份数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775F1BA1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5BEDD42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7CD54F9B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376BF4A9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60" w:type="dxa"/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4991623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</w:tbl>
    <w:p w14:paraId="2027FBE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3A35EF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假设：一份保单的保费为0.4万元；前三次索赔时，保险公司每次赔偿0.8万元；第四次索赔时，保险公司赔偿0.6万元.</w:t>
      </w:r>
    </w:p>
    <w:p w14:paraId="378E03C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假设不同保单的索赔次数相互独立.用频率估计概率.</w:t>
      </w:r>
    </w:p>
    <w:p w14:paraId="2FDC6D4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(1)估计一份保单索赔次数不少于2的概率；</w:t>
      </w:r>
    </w:p>
    <w:p w14:paraId="48EFAEA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(2)一份保单的毛利润定义为这份保单的保费与赔偿总金额之差.</w:t>
      </w:r>
    </w:p>
    <w:p w14:paraId="6C46AF7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/>
        </w:rPr>
        <w:t>记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为一份保单的毛利润，估计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的数学期望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)；</w:t>
      </w:r>
    </w:p>
    <w:p w14:paraId="063D0C6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/>
        </w:rPr>
        <w:t>如果无索赔的保单的保费减少4%，有索赔的保单的保费增加20%，试比较这种情况下一份保单毛利润的数学期望估计值与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)估计值的大小.(结论不要求证明)</w:t>
      </w:r>
    </w:p>
    <w:p w14:paraId="248EB17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089B62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7E376E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33D4C4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FF7D7B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7B466F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5436D7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21B4BC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19.已知椭圆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=1(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&gt;0)，以椭圆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的焦点和短轴端点为顶点的四边形是边长为2的正方形.过点(0，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)且斜率存在的直线与椭圆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交于不同的两点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，过点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(0，1)的直线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</w:rPr>
        <w:t>与椭圆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的另一个交点为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.</w:t>
      </w:r>
    </w:p>
    <w:p w14:paraId="47A855E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(1)求椭圆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的方程及离心率；</w:t>
      </w:r>
    </w:p>
    <w:p w14:paraId="2C92CC4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(2)若直线</w:t>
      </w:r>
      <w:r>
        <w:rPr>
          <w:rFonts w:ascii="Times New Roman" w:hAnsi="Times New Roman"/>
          <w:i/>
        </w:rPr>
        <w:t>BD</w:t>
      </w:r>
      <w:r>
        <w:rPr>
          <w:rFonts w:ascii="Times New Roman" w:hAnsi="Times New Roman"/>
        </w:rPr>
        <w:t>的斜率为0，求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的值.</w:t>
      </w:r>
    </w:p>
    <w:p w14:paraId="67780AB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BDA2E9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B4AA21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B5DB04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C1291E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EE099F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C69F82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3D9438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20.设函数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ln(1+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≠0)，直线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是曲线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)在点(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))(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&gt;0)处的切线.</w:t>
      </w:r>
    </w:p>
    <w:p w14:paraId="1B40C43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(1)当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=-1时，求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</w:t>
      </w:r>
    </w:p>
    <w:p w14:paraId="58DD470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(2)求证：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不经过点(0，0)；</w:t>
      </w:r>
    </w:p>
    <w:p w14:paraId="21E7CBA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(3)当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=1时，设点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))(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&gt;0)，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(0，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))，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</w:rPr>
        <w:t>(0，0)，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轴的交点，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ACO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ABO</w:t>
      </w:r>
      <w:r>
        <w:rPr>
          <w:rFonts w:ascii="Times New Roman" w:hAnsi="Times New Roman"/>
        </w:rPr>
        <w:t>分别表示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/>
          <w:i/>
        </w:rPr>
        <w:t>ACO</w:t>
      </w:r>
      <w:r>
        <w:rPr>
          <w:rFonts w:ascii="Times New Roman" w:hAnsi="Times New Roman"/>
        </w:rPr>
        <w:t>与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/>
          <w:i/>
        </w:rPr>
        <w:t>ABO</w:t>
      </w:r>
      <w:r>
        <w:rPr>
          <w:rFonts w:ascii="Times New Roman" w:hAnsi="Times New Roman"/>
        </w:rPr>
        <w:t>的面积.是否存在点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使得2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ACO</w:t>
      </w:r>
      <w:r>
        <w:rPr>
          <w:rFonts w:ascii="Times New Roman" w:hAnsi="Times New Roman"/>
        </w:rPr>
        <w:t>=15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ABO</w:t>
      </w:r>
      <w:r>
        <w:rPr>
          <w:rFonts w:ascii="Times New Roman" w:hAnsi="Times New Roman"/>
        </w:rPr>
        <w:t>成立？若存在，这样的点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有几个？</w:t>
      </w:r>
    </w:p>
    <w:p w14:paraId="50D5C09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楷体_GBK"/>
        </w:rPr>
        <w:t>(参考数据：</w:t>
      </w:r>
      <w:r>
        <w:rPr>
          <w:rFonts w:ascii="Times New Roman" w:hAnsi="Times New Roman"/>
        </w:rPr>
        <w:t>1.09&lt;ln</w:t>
      </w:r>
      <w:r>
        <w:rPr>
          <w:rFonts w:ascii="Times New Roman" w:hAnsi="Times New Roman" w:eastAsia="方正楷体_GBK"/>
        </w:rPr>
        <w:t xml:space="preserve"> </w:t>
      </w:r>
      <w:r>
        <w:rPr>
          <w:rFonts w:ascii="Times New Roman" w:hAnsi="Times New Roman"/>
        </w:rPr>
        <w:t>3&lt;1.10</w:t>
      </w:r>
      <w:r>
        <w:rPr>
          <w:rFonts w:ascii="Times New Roman" w:hAnsi="Times New Roman" w:eastAsia="方正楷体_GBK"/>
        </w:rPr>
        <w:t>，</w:t>
      </w:r>
      <w:r>
        <w:rPr>
          <w:rFonts w:ascii="Times New Roman" w:hAnsi="Times New Roman"/>
        </w:rPr>
        <w:t>1.60&lt;ln</w:t>
      </w:r>
      <w:r>
        <w:rPr>
          <w:rFonts w:ascii="Times New Roman" w:hAnsi="Times New Roman" w:eastAsia="方正楷体_GBK"/>
        </w:rPr>
        <w:t xml:space="preserve"> </w:t>
      </w:r>
      <w:r>
        <w:rPr>
          <w:rFonts w:ascii="Times New Roman" w:hAnsi="Times New Roman"/>
        </w:rPr>
        <w:t>5&lt;1.61</w:t>
      </w:r>
      <w:r>
        <w:rPr>
          <w:rFonts w:ascii="Times New Roman" w:hAnsi="Times New Roman" w:eastAsia="方正楷体_GBK"/>
        </w:rPr>
        <w:t>，</w:t>
      </w:r>
      <w:r>
        <w:rPr>
          <w:rFonts w:ascii="Times New Roman" w:hAnsi="Times New Roman"/>
        </w:rPr>
        <w:t>1.94&lt;ln</w:t>
      </w:r>
      <w:r>
        <w:rPr>
          <w:rFonts w:ascii="Times New Roman" w:hAnsi="Times New Roman" w:eastAsia="方正楷体_GBK"/>
        </w:rPr>
        <w:t xml:space="preserve"> </w:t>
      </w:r>
      <w:r>
        <w:rPr>
          <w:rFonts w:ascii="Times New Roman" w:hAnsi="Times New Roman"/>
        </w:rPr>
        <w:t>7&lt;1.95</w:t>
      </w:r>
      <w:r>
        <w:rPr>
          <w:rFonts w:ascii="Times New Roman" w:hAnsi="Times New Roman" w:eastAsia="方正楷体_GBK"/>
        </w:rPr>
        <w:t>)</w:t>
      </w:r>
    </w:p>
    <w:p w14:paraId="3E9D315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7067FC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52AF54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195FF6E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45DDEB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50436B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FC1D8F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39F46DC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497C48C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08ECDD1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2891C28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01E0AE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2B872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66EE8C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7913E3E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693F32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54F8D59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p w14:paraId="691D26F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bookmarkStart w:id="0" w:name="_GoBack"/>
      <w:bookmarkEnd w:id="0"/>
    </w:p>
    <w:sectPr>
      <w:footnotePr>
        <w:numFmt w:val="decimalEnclosedCircleChinese"/>
      </w:footnotePr>
      <w:pgSz w:w="11907" w:h="16159"/>
      <w:pgMar w:top="850" w:right="850" w:bottom="85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EU-BZ">
    <w:altName w:val="宋体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楷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numFmt w:val="decimalEnclosedCircleChinese"/>
  </w:footnotePr>
  <w:compat>
    <w:ulTrailSpace/>
    <w:useFELayout/>
    <w:compatSetting w:name="compatibilityMode" w:uri="http://schemas.microsoft.com/office/word" w:val="12"/>
  </w:compat>
  <w:rsids>
    <w:rsidRoot w:val="00FA57C3"/>
    <w:rsid w:val="000120E3"/>
    <w:rsid w:val="00043C97"/>
    <w:rsid w:val="00051636"/>
    <w:rsid w:val="0006373F"/>
    <w:rsid w:val="00075369"/>
    <w:rsid w:val="0007769B"/>
    <w:rsid w:val="00084F11"/>
    <w:rsid w:val="00091B02"/>
    <w:rsid w:val="000B623B"/>
    <w:rsid w:val="001302C8"/>
    <w:rsid w:val="0013235C"/>
    <w:rsid w:val="00152ED9"/>
    <w:rsid w:val="001C5ADF"/>
    <w:rsid w:val="001F72B4"/>
    <w:rsid w:val="002068E6"/>
    <w:rsid w:val="0025175E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74684"/>
    <w:rsid w:val="0058578F"/>
    <w:rsid w:val="005B0CFB"/>
    <w:rsid w:val="005F127C"/>
    <w:rsid w:val="006C537E"/>
    <w:rsid w:val="006E28A5"/>
    <w:rsid w:val="006F20D4"/>
    <w:rsid w:val="00720332"/>
    <w:rsid w:val="007F45EA"/>
    <w:rsid w:val="0081363D"/>
    <w:rsid w:val="00843D10"/>
    <w:rsid w:val="008B3DDC"/>
    <w:rsid w:val="009217BC"/>
    <w:rsid w:val="00960619"/>
    <w:rsid w:val="00971BFB"/>
    <w:rsid w:val="009A4625"/>
    <w:rsid w:val="009D7281"/>
    <w:rsid w:val="009F4C47"/>
    <w:rsid w:val="00A33F40"/>
    <w:rsid w:val="00AB315B"/>
    <w:rsid w:val="00B308B8"/>
    <w:rsid w:val="00B82B68"/>
    <w:rsid w:val="00BA1E36"/>
    <w:rsid w:val="00BF17CB"/>
    <w:rsid w:val="00C44E2D"/>
    <w:rsid w:val="00C47140"/>
    <w:rsid w:val="00C6302E"/>
    <w:rsid w:val="00C82289"/>
    <w:rsid w:val="00C93E3A"/>
    <w:rsid w:val="00CB1D13"/>
    <w:rsid w:val="00D01BC0"/>
    <w:rsid w:val="00D3685C"/>
    <w:rsid w:val="00D54F83"/>
    <w:rsid w:val="00D81827"/>
    <w:rsid w:val="00D940E1"/>
    <w:rsid w:val="00E05032"/>
    <w:rsid w:val="00E336E3"/>
    <w:rsid w:val="00E5427A"/>
    <w:rsid w:val="00E629AC"/>
    <w:rsid w:val="00E7413A"/>
    <w:rsid w:val="00E93DC0"/>
    <w:rsid w:val="00EB4538"/>
    <w:rsid w:val="00F043AD"/>
    <w:rsid w:val="00F2499B"/>
    <w:rsid w:val="00F81A0E"/>
    <w:rsid w:val="00FA57C3"/>
    <w:rsid w:val="00FC4922"/>
    <w:rsid w:val="7B09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founder.com/pam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NEU-BZ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hAnsi="NEU-BZ" w:asci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widowControl w:val="0"/>
      <w:spacing w:before="340" w:after="330" w:line="578" w:lineRule="auto"/>
      <w:jc w:val="center"/>
      <w:outlineLvl w:val="0"/>
    </w:pPr>
    <w:rPr>
      <w:rFonts w:ascii="Times New Roman" w:hAnsi="Times New Roman" w:cs="Times New Roman"/>
      <w:b/>
      <w:bCs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widowControl w:val="0"/>
      <w:spacing w:before="260" w:after="260" w:line="415" w:lineRule="auto"/>
      <w:jc w:val="center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31"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</w:rPr>
  </w:style>
  <w:style w:type="paragraph" w:styleId="6">
    <w:name w:val="Balloon Text"/>
    <w:basedOn w:val="7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customStyle="1" w:styleId="7">
    <w:name w:val="_Style 6"/>
    <w:qFormat/>
    <w:uiPriority w:val="0"/>
    <w:rPr>
      <w:rFonts w:hAnsi="NEU-BZ" w:asciiTheme="minorHAnsi" w:eastAsiaTheme="minorEastAsia" w:cstheme="minorBidi"/>
      <w:sz w:val="22"/>
      <w:szCs w:val="22"/>
      <w:lang w:val="en-US" w:eastAsia="zh-CN" w:bidi="ar-SA"/>
    </w:rPr>
  </w:style>
  <w:style w:type="paragraph" w:styleId="8">
    <w:name w:val="footer"/>
    <w:basedOn w:val="7"/>
    <w:link w:val="17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7"/>
    <w:link w:val="16"/>
    <w:unhideWhenUsed/>
    <w:uiPriority w:val="99"/>
    <w:pPr>
      <w:tabs>
        <w:tab w:val="center" w:pos="4513"/>
        <w:tab w:val="right" w:pos="9026"/>
      </w:tabs>
    </w:pPr>
  </w:style>
  <w:style w:type="paragraph" w:styleId="10">
    <w:name w:val="footnote text"/>
    <w:basedOn w:val="7"/>
    <w:link w:val="24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12">
    <w:name w:val="Table Grid"/>
    <w:basedOn w:val="11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Light Shading Accent 3"/>
    <w:basedOn w:val="11"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5">
    <w:name w:val="footnote reference"/>
    <w:basedOn w:val="14"/>
    <w:semiHidden/>
    <w:unhideWhenUsed/>
    <w:uiPriority w:val="99"/>
    <w:rPr>
      <w:vertAlign w:val="superscript"/>
    </w:rPr>
  </w:style>
  <w:style w:type="character" w:customStyle="1" w:styleId="16">
    <w:name w:val="页眉 Char"/>
    <w:basedOn w:val="14"/>
    <w:link w:val="9"/>
    <w:uiPriority w:val="99"/>
  </w:style>
  <w:style w:type="character" w:customStyle="1" w:styleId="17">
    <w:name w:val="页脚 Char"/>
    <w:basedOn w:val="14"/>
    <w:link w:val="8"/>
    <w:uiPriority w:val="99"/>
  </w:style>
  <w:style w:type="paragraph" w:styleId="18">
    <w:name w:val="List Paragraph"/>
    <w:basedOn w:val="7"/>
    <w:qFormat/>
    <w:uiPriority w:val="34"/>
    <w:pPr>
      <w:ind w:left="720"/>
      <w:contextualSpacing/>
    </w:pPr>
  </w:style>
  <w:style w:type="character" w:customStyle="1" w:styleId="19">
    <w:name w:val="批注框文本 Char"/>
    <w:basedOn w:val="14"/>
    <w:link w:val="6"/>
    <w:semiHidden/>
    <w:uiPriority w:val="99"/>
    <w:rPr>
      <w:rFonts w:ascii="Tahoma" w:hAnsi="Tahoma" w:cs="Tahoma"/>
      <w:sz w:val="16"/>
      <w:szCs w:val="16"/>
    </w:rPr>
  </w:style>
  <w:style w:type="paragraph" w:styleId="20">
    <w:name w:val="Quote"/>
    <w:basedOn w:val="7"/>
    <w:next w:val="7"/>
    <w:link w:val="21"/>
    <w:qFormat/>
    <w:uiPriority w:val="29"/>
    <w:rPr>
      <w:i/>
      <w:iCs/>
      <w:color w:val="000000" w:themeColor="text1"/>
    </w:rPr>
  </w:style>
  <w:style w:type="character" w:customStyle="1" w:styleId="21">
    <w:name w:val="引用 Char"/>
    <w:basedOn w:val="14"/>
    <w:link w:val="20"/>
    <w:uiPriority w:val="29"/>
    <w:rPr>
      <w:i/>
      <w:iCs/>
      <w:color w:val="000000" w:themeColor="text1"/>
    </w:rPr>
  </w:style>
  <w:style w:type="paragraph" w:customStyle="1" w:styleId="22">
    <w:name w:val="MTDisplayEquation"/>
    <w:basedOn w:val="7"/>
    <w:next w:val="7"/>
    <w:link w:val="23"/>
    <w:uiPriority w:val="0"/>
    <w:pPr>
      <w:tabs>
        <w:tab w:val="center" w:pos="4160"/>
        <w:tab w:val="right" w:pos="8300"/>
      </w:tabs>
    </w:pPr>
  </w:style>
  <w:style w:type="character" w:customStyle="1" w:styleId="23">
    <w:name w:val="MTDisplayEquation Char"/>
    <w:basedOn w:val="14"/>
    <w:link w:val="22"/>
    <w:uiPriority w:val="0"/>
  </w:style>
  <w:style w:type="character" w:customStyle="1" w:styleId="24">
    <w:name w:val="脚注文本 Char"/>
    <w:basedOn w:val="14"/>
    <w:link w:val="10"/>
    <w:semiHidden/>
    <w:uiPriority w:val="99"/>
    <w:rPr>
      <w:sz w:val="18"/>
      <w:szCs w:val="18"/>
    </w:rPr>
  </w:style>
  <w:style w:type="paragraph" w:customStyle="1" w:styleId="25">
    <w:name w:val="Title 2"/>
    <w:basedOn w:val="1"/>
    <w:qFormat/>
    <w:uiPriority w:val="0"/>
    <w:pPr>
      <w:jc w:val="center"/>
      <w:outlineLvl w:val="3"/>
    </w:pPr>
    <w:rPr>
      <w:rFonts w:eastAsia="方正小标宋_GBK"/>
      <w:sz w:val="36"/>
      <w:szCs w:val="36"/>
    </w:rPr>
  </w:style>
  <w:style w:type="paragraph" w:customStyle="1" w:styleId="26">
    <w:name w:val="[基本段落]"/>
    <w:basedOn w:val="27"/>
    <w:uiPriority w:val="0"/>
  </w:style>
  <w:style w:type="paragraph" w:customStyle="1" w:styleId="27">
    <w:name w:val="[系统文字]"/>
    <w:qFormat/>
    <w:uiPriority w:val="0"/>
    <w:pPr>
      <w:jc w:val="both"/>
    </w:pPr>
    <w:rPr>
      <w:rFonts w:ascii="NEU-BZ" w:hAnsi="NEU-BZ" w:eastAsia="方正书宋_GBK" w:cstheme="minorBidi"/>
      <w:color w:val="000000"/>
      <w:sz w:val="21"/>
      <w:szCs w:val="21"/>
      <w:lang w:val="en-US" w:eastAsia="zh-CN" w:bidi="ar-SA"/>
    </w:rPr>
  </w:style>
  <w:style w:type="character" w:customStyle="1" w:styleId="28">
    <w:name w:val="标题 2 Char"/>
    <w:basedOn w:val="14"/>
    <w:link w:val="3"/>
    <w:uiPriority w:val="9"/>
    <w:rPr>
      <w:rFonts w:ascii="Times New Roman" w:hAnsi="Times New Roman" w:eastAsiaTheme="majorEastAsia" w:cstheme="majorBidi"/>
      <w:b/>
      <w:bCs/>
      <w:sz w:val="32"/>
      <w:szCs w:val="32"/>
    </w:rPr>
  </w:style>
  <w:style w:type="character" w:customStyle="1" w:styleId="29">
    <w:name w:val="标题 1 Char"/>
    <w:basedOn w:val="14"/>
    <w:link w:val="2"/>
    <w:uiPriority w:val="9"/>
    <w:rPr>
      <w:rFonts w:ascii="Times New Roman" w:hAnsi="Times New Roman" w:cs="Times New Roman"/>
      <w:b/>
      <w:bCs/>
      <w:sz w:val="44"/>
      <w:szCs w:val="44"/>
    </w:rPr>
  </w:style>
  <w:style w:type="character" w:customStyle="1" w:styleId="30">
    <w:name w:val="标题 3 Char"/>
    <w:basedOn w:val="14"/>
    <w:link w:val="4"/>
    <w:semiHidden/>
    <w:uiPriority w:val="9"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31">
    <w:name w:val="纯文本 Char"/>
    <w:basedOn w:val="14"/>
    <w:link w:val="5"/>
    <w:qFormat/>
    <w:uiPriority w:val="0"/>
    <w:rPr>
      <w:rFonts w:ascii="宋体" w:hAnsi="Courier New" w:eastAsia="宋体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Intergen Ltd</Company>
  <Pages>4</Pages>
  <Words>2504</Words>
  <Characters>3886</Characters>
  <Lines>82</Lines>
  <Paragraphs>23</Paragraphs>
  <TotalTime>142</TotalTime>
  <ScaleCrop>false</ScaleCrop>
  <LinksUpToDate>false</LinksUpToDate>
  <CharactersWithSpaces>3994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2009-03-05T00:31:00Z</dcterms:created>
  <dc:creator>梅</dc:creator>
  <cp:lastModifiedBy>梅</cp:lastModifiedBy>
  <dcterms:modified xsi:type="dcterms:W3CDTF">2026-01-06T07:35:50Z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eyJoZGlkIjoiYmQyZGIzOWVkN2ZiZTczN2QyYmExY2Q3MTM5ODBmODUiLCJ1c2VySWQiOiI0NzEyMzk5NjYifQ==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65A631FD2927487ABBC6008CC96829B6_12</vt:lpwstr>
  </property>
</Properties>
</file>