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Basics</w:t>
      </w:r>
    </w:p>
    <w:p>
      <w:pPr>
        <w:pStyle w:val="Author"/>
      </w:pPr>
      <w:r>
        <w:t xml:space="preserve">Norah Jones</w:t>
      </w:r>
    </w:p>
    <w:p>
      <w:pPr>
        <w:pStyle w:val="Date"/>
      </w:pPr>
      <w:r>
        <w:t xml:space="preserve">2021-05-22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colors"/>
    <w:p>
      <w:pPr>
        <w:pStyle w:val="Heading2"/>
      </w:pPr>
      <w:r>
        <w:t xml:space="preserve">1 Colors</w:t>
      </w:r>
    </w:p>
    <w:p>
      <w:pPr>
        <w:pStyle w:val="Compact"/>
        <w:numPr>
          <w:ilvl w:val="0"/>
          <w:numId w:val="1001"/>
        </w:numPr>
      </w:pPr>
      <w:r>
        <w:t xml:space="preserve">Red</w:t>
      </w:r>
    </w:p>
    <w:p>
      <w:pPr>
        <w:pStyle w:val="Compact"/>
        <w:numPr>
          <w:ilvl w:val="0"/>
          <w:numId w:val="1001"/>
        </w:numPr>
      </w:pPr>
      <w:r>
        <w:t xml:space="preserve">Green</w:t>
      </w:r>
    </w:p>
    <w:p>
      <w:pPr>
        <w:pStyle w:val="Compact"/>
        <w:numPr>
          <w:ilvl w:val="0"/>
          <w:numId w:val="1001"/>
        </w:numPr>
      </w:pPr>
      <w:r>
        <w:t xml:space="preserve">Blue</w:t>
      </w:r>
    </w:p>
    <w:bookmarkEnd w:id="20"/>
    <w:bookmarkStart w:id="21" w:name="shapes"/>
    <w:p>
      <w:pPr>
        <w:pStyle w:val="Heading2"/>
      </w:pPr>
      <w:r>
        <w:t xml:space="preserve">2 Shapes</w:t>
      </w:r>
    </w:p>
    <w:p>
      <w:pPr>
        <w:pStyle w:val="Compact"/>
        <w:numPr>
          <w:ilvl w:val="0"/>
          <w:numId w:val="1002"/>
        </w:numPr>
      </w:pPr>
      <w:r>
        <w:t xml:space="preserve">Square</w:t>
      </w:r>
    </w:p>
    <w:p>
      <w:pPr>
        <w:pStyle w:val="Compact"/>
        <w:numPr>
          <w:ilvl w:val="0"/>
          <w:numId w:val="1002"/>
        </w:numPr>
      </w:pPr>
      <w:r>
        <w:t xml:space="preserve">Circle</w:t>
      </w:r>
    </w:p>
    <w:p>
      <w:pPr>
        <w:pStyle w:val="Compact"/>
        <w:numPr>
          <w:ilvl w:val="0"/>
          <w:numId w:val="1002"/>
        </w:numPr>
      </w:pPr>
      <w:r>
        <w:t xml:space="preserve">Triangle</w:t>
      </w:r>
    </w:p>
    <w:bookmarkEnd w:id="21"/>
    <w:bookmarkStart w:id="22" w:name="textures"/>
    <w:p>
      <w:pPr>
        <w:pStyle w:val="Heading2"/>
      </w:pPr>
      <w:r>
        <w:t xml:space="preserve">3 Textures</w:t>
      </w:r>
    </w:p>
    <w:p>
      <w:pPr>
        <w:pStyle w:val="Compact"/>
        <w:numPr>
          <w:ilvl w:val="0"/>
          <w:numId w:val="1003"/>
        </w:numPr>
      </w:pPr>
      <w:r>
        <w:t xml:space="preserve">Smooth</w:t>
      </w:r>
    </w:p>
    <w:p>
      <w:pPr>
        <w:pStyle w:val="Compact"/>
        <w:numPr>
          <w:ilvl w:val="0"/>
          <w:numId w:val="1003"/>
        </w:numPr>
      </w:pPr>
      <w:r>
        <w:t xml:space="preserve">Bumpy</w:t>
      </w:r>
    </w:p>
    <w:p>
      <w:pPr>
        <w:pStyle w:val="Compact"/>
        <w:numPr>
          <w:ilvl w:val="0"/>
          <w:numId w:val="1003"/>
        </w:numPr>
      </w:pPr>
      <w:r>
        <w:t xml:space="preserve">Fuzzy</w:t>
      </w:r>
    </w:p>
    <w:bookmarkEnd w:id="22"/>
    <w:bookmarkStart w:id="23" w:name="overview"/>
    <w:p>
      <w:pPr>
        <w:pStyle w:val="Heading2"/>
      </w:pPr>
      <w:r>
        <w:t xml:space="preserve">4 Overview</w:t>
      </w:r>
    </w:p>
    <w:p>
      <w:pPr>
        <w:pStyle w:val="FirstParagraph"/>
      </w:pPr>
      <w:r>
        <w:t xml:space="preserve">See</w:t>
      </w:r>
      <w:r>
        <w:t xml:space="preserve"> </w:t>
      </w:r>
      <w:hyperlink w:anchor="fig-si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in</w:t>
      </w:r>
      <w:r>
        <w:t xml:space="preserve"> </w:t>
      </w:r>
      <w:hyperlink w:anchor="sec-plot">
        <w:r>
          <w:rPr>
            <w:rStyle w:val="Hyperlink"/>
          </w:rPr>
          <w:t xml:space="preserve">Section 5</w:t>
        </w:r>
      </w:hyperlink>
      <w:r>
        <w:t xml:space="preserve"> </w:t>
      </w:r>
      <w:r>
        <w:t xml:space="preserve">for a demonstration of a simple plot.</w:t>
      </w:r>
    </w:p>
    <w:p>
      <w:pPr>
        <w:pStyle w:val="BodyText"/>
      </w:pPr>
      <w:r>
        <w:t xml:space="preserve">See</w:t>
      </w:r>
      <w:r>
        <w:t xml:space="preserve"> </w:t>
      </w:r>
      <w:hyperlink w:anchor="eq-stddev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better understand standard deviation.</w:t>
      </w:r>
    </w:p>
    <w:bookmarkEnd w:id="23"/>
    <w:bookmarkStart w:id="28" w:name="sec-plot"/>
    <w:p>
      <w:pPr>
        <w:pStyle w:val="Heading2"/>
      </w:pPr>
      <w:r>
        <w:t xml:space="preserve">5 Plot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NormalTok"/>
        </w:rPr>
        <w:t xml:space="preserve">plt.plot([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simple"/>
          <w:p>
            <w:pPr>
              <w:pStyle w:val="Compact"/>
              <w:jc w:val="center"/>
            </w:pPr>
            <w:r>
              <w:drawing>
                <wp:inline>
                  <wp:extent cx="3971925" cy="3209925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authoring_files/figure-docx/fig-simple-output-1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1925" cy="3209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Simple Plot</w:t>
            </w:r>
          </w:p>
          <w:bookmarkEnd w:id="27"/>
        </w:tc>
      </w:tr>
    </w:tbl>
    <w:bookmarkEnd w:id="28"/>
    <w:bookmarkStart w:id="30" w:name="sec-equation"/>
    <w:p>
      <w:pPr>
        <w:pStyle w:val="Heading2"/>
      </w:pPr>
      <w:r>
        <w:t xml:space="preserve">6 Equation</w:t>
      </w:r>
    </w:p>
    <w:p>
      <w:pPr>
        <w:pStyle w:val="FirstParagraph"/>
      </w:pPr>
      <w:bookmarkStart w:id="29" w:name="eq-stddev"/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bar>
                            <m:barPr>
                              <m:pos m:val="top"/>
                            </m:barPr>
                            <m:e>
                              <m:r>
                                <m:t>x</m:t>
                              </m:r>
                            </m:e>
                          </m:ba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ra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</m:e>
          </m:d>
        </m:oMath>
      </m:oMathPara>
      <w:bookmarkEnd w:id="29"/>
    </w:p>
    <w:bookmarkEnd w:id="30"/>
    <w:bookmarkStart w:id="31" w:name="citation"/>
    <w:p>
      <w:pPr>
        <w:pStyle w:val="Heading2"/>
      </w:pPr>
      <w:r>
        <w:t xml:space="preserve">7 Citation</w:t>
      </w:r>
    </w:p>
    <w:p>
      <w:pPr>
        <w:pStyle w:val="FirstParagraph"/>
      </w:pPr>
      <w:r>
        <w:t xml:space="preserve">Knuth says always be literate</w:t>
      </w:r>
      <w:r>
        <w:t xml:space="preserve"> </w:t>
      </w:r>
      <w:r>
        <w:t xml:space="preserve">(Knuth 1984)</w:t>
      </w:r>
      <w:r>
        <w:t xml:space="preserve">.</w:t>
      </w:r>
    </w:p>
    <w:bookmarkEnd w:id="31"/>
    <w:bookmarkStart w:id="34" w:name="references"/>
    <w:p>
      <w:pPr>
        <w:pStyle w:val="Heading2"/>
      </w:pPr>
      <w:r>
        <w:t xml:space="preserve">8 References</w:t>
      </w:r>
    </w:p>
    <w:bookmarkStart w:id="33" w:name="refs"/>
    <w:bookmarkStart w:id="32" w:name="ref-knuth1984"/>
    <w:p>
      <w:pPr>
        <w:pStyle w:val="Bibliography"/>
      </w:pPr>
      <w:r>
        <w:t xml:space="preserve">Knuth, Donald Ervin.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The Computer Journal</w:t>
      </w:r>
      <w:r>
        <w:t xml:space="preserve"> </w:t>
      </w:r>
      <w:r>
        <w:t xml:space="preserve">27 (2): 97–111.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Basics</dc:title>
  <dc:creator>Norah Jones</dc:creator>
  <cp:keywords/>
  <dcterms:created xsi:type="dcterms:W3CDTF">2025-12-24T01:16:14Z</dcterms:created>
  <dcterms:modified xsi:type="dcterms:W3CDTF">2025-12-24T01:16:14Z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date">
    <vt:lpwstr>2021-05-22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