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jc w:val="center"/>
      </w:pPr>
      <w:r>
        <w:rPr>
          <w:rFonts w:ascii="Times New Roman" w:hAnsi="Times New Roman" w:cs="Times New Roman" w:eastAsia="Microsoft YaHei"/>
          <w:b/>
          <w:color w:val="000000"/>
          <w:sz w:val="36"/>
        </w:rPr>
        <w:t>Bilingual Reviewer Comments</w:t>
      </w:r>
    </w:p>
    <w:p>
      <w:pPr>
        <w:spacing w:after="200"/>
        <w:jc w:val="center"/>
      </w:pPr>
      <w:r>
        <w:rPr>
          <w:rFonts w:ascii="Times New Roman" w:hAnsi="Times New Roman" w:cs="Times New Roman" w:eastAsia="Microsoft YaHei"/>
          <w:b/>
          <w:color w:val="000000"/>
          <w:sz w:val="36"/>
        </w:rPr>
        <w:t>审稿意见中英对照</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4762"/>
      </w:tblGrid>
      <w:tr>
        <w:tc>
          <w:tcPr>
            <w:tcW w:type="dxa" w:w="2551"/>
            <w:tcMar>
              <w:top w:w="20" w:type="dxa"/>
              <w:start w:w="50" w:type="dxa"/>
              <w:bottom w:w="20" w:type="dxa"/>
              <w:end w:w="50" w:type="dxa"/>
            </w:tcMar>
          </w:tcPr>
          <w:p>
            <w:pPr>
              <w:jc w:val="right"/>
            </w:pPr>
            <w:r>
              <w:rPr>
                <w:rFonts w:ascii="Times New Roman" w:hAnsi="Times New Roman" w:cs="Times New Roman" w:eastAsia="Microsoft YaHei"/>
                <w:b/>
                <w:color w:val="000000"/>
                <w:sz w:val="21"/>
              </w:rPr>
              <w:t>Manuscript / 稿件编号：</w:t>
            </w:r>
          </w:p>
        </w:tc>
        <w:tc>
          <w:tcPr>
            <w:tcW w:type="dxa" w:w="6350"/>
            <w:tcMar>
              <w:top w:w="20" w:type="dxa"/>
              <w:start w:w="50" w:type="dxa"/>
              <w:bottom w:w="20" w:type="dxa"/>
              <w:end w:w="50" w:type="dxa"/>
            </w:tcMar>
          </w:tcPr>
          <w:p>
            <w:r>
              <w:rPr>
                <w:rFonts w:ascii="Times New Roman" w:hAnsi="Times New Roman" w:cs="Times New Roman" w:eastAsia="Microsoft YaHei"/>
                <w:color w:val="000000"/>
                <w:sz w:val="21"/>
              </w:rPr>
              <w:t>ELSCAM-D-26-01599</w:t>
            </w:r>
          </w:p>
        </w:tc>
      </w:tr>
      <w:tr>
        <w:tc>
          <w:tcPr>
            <w:tcW w:type="dxa" w:w="2551"/>
            <w:tcMar>
              <w:top w:w="20" w:type="dxa"/>
              <w:start w:w="50" w:type="dxa"/>
              <w:bottom w:w="20" w:type="dxa"/>
              <w:end w:w="50" w:type="dxa"/>
            </w:tcMar>
          </w:tcPr>
          <w:p>
            <w:pPr>
              <w:jc w:val="right"/>
            </w:pPr>
            <w:r>
              <w:rPr>
                <w:rFonts w:ascii="Times New Roman" w:hAnsi="Times New Roman" w:cs="Times New Roman" w:eastAsia="Microsoft YaHei"/>
                <w:b/>
                <w:color w:val="000000"/>
                <w:sz w:val="21"/>
              </w:rPr>
              <w:t>Article / 稿件题目：</w:t>
            </w:r>
          </w:p>
        </w:tc>
        <w:tc>
          <w:tcPr>
            <w:tcW w:type="dxa" w:w="6350"/>
            <w:tcMar>
              <w:top w:w="20" w:type="dxa"/>
              <w:start w:w="50" w:type="dxa"/>
              <w:bottom w:w="20" w:type="dxa"/>
              <w:end w:w="50" w:type="dxa"/>
            </w:tcMar>
          </w:tcPr>
          <w:p>
            <w:r>
              <w:rPr>
                <w:rFonts w:ascii="Times New Roman" w:hAnsi="Times New Roman" w:cs="Times New Roman" w:eastAsia="Microsoft YaHei"/>
                <w:color w:val="000000"/>
                <w:sz w:val="21"/>
              </w:rPr>
              <w:t>Domain-decomposed antiderivative transformation iterative method: A deep learning approach for weakly and Cauchy types singular integral equations</w:t>
            </w:r>
          </w:p>
        </w:tc>
      </w:tr>
    </w:tbl>
    <w:p>
      <w:pPr>
        <w:spacing w:after="60"/>
      </w:pPr>
    </w:p>
    <w:tbl>
      <w:tblPr>
        <w:tblW w:type="dxa" w:w="9524"/>
        <w:jc w:val="left"/>
        <w:tblLayout w:type="fixed"/>
        <w:tblLook w:firstColumn="1" w:firstRow="1" w:lastColumn="0" w:lastRow="0" w:noHBand="0" w:noVBand="1" w:val="04A0"/>
        <w:tblInd w:w="0" w:type="dxa"/>
        <w:tblBorders>
          <w:top w:val="single" w:sz="4" w:space="0" w:color="787878"/>
          <w:left w:val="single" w:sz="4" w:space="0" w:color="787878"/>
          <w:bottom w:val="single" w:sz="4" w:space="0" w:color="787878"/>
          <w:right w:val="single" w:sz="4" w:space="0" w:color="787878"/>
          <w:insideH w:val="single" w:sz="4" w:space="0" w:color="787878"/>
          <w:insideV w:val="single" w:sz="4" w:space="0" w:color="787878"/>
        </w:tblBorders>
      </w:tblPr>
      <w:tblGrid>
        <w:gridCol w:w="9524"/>
      </w:tblGrid>
      <w:tr>
        <w:tc>
          <w:tcPr>
            <w:tcW w:type="dxa" w:w="9524"/>
            <w:shd w:fill="FFFFFF" w:val="clear"/>
            <w:tcMar>
              <w:top w:w="85" w:type="dxa"/>
              <w:start w:w="113" w:type="dxa"/>
              <w:bottom w:w="85" w:type="dxa"/>
              <w:end w:w="113" w:type="dxa"/>
            </w:tcMar>
          </w:tcPr>
          <w:p>
            <w:pPr>
              <w:spacing w:after="20"/>
            </w:pPr>
            <w:r>
              <w:rPr>
                <w:rFonts w:ascii="Times New Roman" w:hAnsi="Times New Roman" w:cs="Times New Roman" w:eastAsia="Microsoft YaHei"/>
                <w:color w:val="000000"/>
                <w:sz w:val="19"/>
              </w:rPr>
              <w:t>本文件仅汇编审稿人意见；每条先列英文原文，再列中文译文，不含作者回复与修改说明。</w:t>
            </w:r>
          </w:p>
          <w:p>
            <w:pPr>
              <w:spacing w:after="0"/>
            </w:pPr>
            <w:r>
              <w:rPr>
                <w:rFonts w:ascii="Times New Roman" w:hAnsi="Times New Roman" w:cs="Times New Roman" w:eastAsia="Microsoft YaHei"/>
                <w:i/>
                <w:color w:val="000000"/>
                <w:sz w:val="19"/>
              </w:rPr>
              <w:t>This document contains reviewer comments only. Each English original is followed by its Chinese translation; author responses and revision notes are omitted.</w:t>
            </w:r>
          </w:p>
        </w:tc>
      </w:tr>
    </w:tbl>
    <w:p>
      <w:pPr>
        <w:spacing w:before="200" w:after="80"/>
      </w:pPr>
      <w:r>
        <w:rPr>
          <w:rFonts w:ascii="Times New Roman" w:hAnsi="Times New Roman" w:cs="Times New Roman" w:eastAsia="Microsoft YaHei"/>
          <w:b/>
          <w:color w:val="1E466E"/>
          <w:sz w:val="30"/>
        </w:rPr>
        <w:t>Contents</w:t>
      </w:r>
    </w:p>
    <w:p>
      <w:pPr>
        <w:spacing w:after="0"/>
      </w:pPr>
      <w:r>
        <w:fldChar w:fldCharType="begin" w:dirty="true"/>
      </w:r>
      <w:r>
        <w:instrText xml:space="preserve"> TOC \o "1-2" \h \z \u </w:instrText>
      </w:r>
      <w:r>
        <w:fldChar w:fldCharType="separate"/>
      </w:r>
      <w:r>
        <w:rPr>
          <w:rFonts w:ascii="Times New Roman" w:hAnsi="Times New Roman" w:cs="Times New Roman" w:eastAsia="Microsoft YaHei"/>
          <w:color w:val="787878"/>
          <w:sz w:val="18"/>
        </w:rPr>
        <w:t>目录将在 Word 中打开时自动更新。</w:t>
      </w:r>
      <w:r>
        <w:fldChar w:fldCharType="end"/>
      </w:r>
      <w:r>
        <w:br w:type="page"/>
      </w:r>
    </w:p>
    <w:p>
      <w:pPr>
        <w:pStyle w:val="Heading1"/>
      </w:pPr>
      <w:r>
        <w:t>Reviewer #1 / 审稿人 #1</w:t>
      </w:r>
    </w:p>
    <w:p>
      <w:pPr>
        <w:pStyle w:val="Heading2"/>
      </w:pPr>
      <w:r>
        <w:t>R1.1: Comment 1 / 意见 1</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Page 3, line no. 11 from top, for hyper-singular integral equations, “α≥2” seems to be “α &gt; 1”. Otherwise, discuss the missing case 1 &lt; α &lt; 2.</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第 3 页，从上往下第 11 行：对于超奇异积分方程，“α≥2”似乎应为“α &gt; 1”。否则，请讨论缺失的情形 1 &lt; α &lt; 2。</w:t>
            </w:r>
          </w:p>
        </w:tc>
      </w:tr>
    </w:tbl>
    <w:p>
      <w:pPr>
        <w:spacing w:after="20" w:line="20" w:lineRule="exact"/>
      </w:pPr>
    </w:p>
    <w:p>
      <w:pPr>
        <w:pStyle w:val="Heading2"/>
      </w:pPr>
      <w:r>
        <w:t>R1.2: Comment 2 / 意见 2</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Page 4, line no. 16 from top, the statement “G(x,t) and φ(t) are both continuous, the integrand [G(x,t)/(x−t)^α]φ(t) is also a continuous function.” seems to be wrong. For example, if G(x,t)=(x+t)^α and φ(t)=1, how [G(x,t)/(x−t)^α]φ(t) will be a continuous function.</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第 4 页，从上往下第 16 行，表述“G(x,t) 和 φ(t) 均连续，因此被积函数 [G(x,t)/(x−t)^α]φ(t) 也是连续函数”似乎有误。例如，若 G(x,t)=(x+t)^α 且 φ(t)=1，则 [G(x,t)/(x−t)^α]φ(t) 如何会是连续函数？</w:t>
            </w:r>
          </w:p>
        </w:tc>
      </w:tr>
    </w:tbl>
    <w:p>
      <w:pPr>
        <w:spacing w:after="20" w:line="20" w:lineRule="exact"/>
      </w:pPr>
    </w:p>
    <w:p>
      <w:pPr>
        <w:pStyle w:val="Heading2"/>
      </w:pPr>
      <w:r>
        <w:t>R1.3: Comment 3 / 意见 3</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Page 4, line no. 11, 12 from top, the domain Ω and [a, x] both are sets. So, what is purpose of writing Ω∈[a,x]? Should be used “=” or “⊆”. Similarly, for Ω∈[a,x−ε] and other such expressions.</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第 4 页，从上往下第 11、12 行，区域 Ω 和 [a,x] 都是集合。那么写 Ω∈[a,x] 的目的是什么？应使用“=”或“⊆”。类似地，Ω∈[a,x−ε] 等表达也应如此处理。</w:t>
            </w:r>
          </w:p>
        </w:tc>
      </w:tr>
    </w:tbl>
    <w:p>
      <w:pPr>
        <w:spacing w:after="20" w:line="20" w:lineRule="exact"/>
      </w:pPr>
    </w:p>
    <w:p>
      <w:pPr>
        <w:pStyle w:val="Heading2"/>
      </w:pPr>
      <w:r>
        <w:t>R1.4: Comment 4 / 意见 4</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Motivation is not sufficiently stated in the introduction part. It should be clarified what advantages of the proposed technique are.</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引言部分对研究动机的阐述不够充分。应明确说明所提出技术具有哪些优势。</w:t>
            </w:r>
          </w:p>
        </w:tc>
      </w:tr>
    </w:tbl>
    <w:p>
      <w:pPr>
        <w:spacing w:after="20" w:line="20" w:lineRule="exact"/>
      </w:pPr>
    </w:p>
    <w:p>
      <w:pPr>
        <w:pStyle w:val="Heading2"/>
      </w:pPr>
      <w:r>
        <w:t>R1.5: Comment 5 / 意见 5</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Page 3, line no. 11 from top, G(x,t)/(x−t)φ(t) should be written as [G(x,t)/(x−t)]φ(t) to avoid confusing. Similar inaccuracies are there in many places. Also do the same corrections for G(x,t)/(x−t)^α.</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第 3 页，从上往下第 11 行，G(x,t)/(x−t)φ(t) 应写成 [G(x,t)/(x−t)]φ(t)，以避免混淆。文中许多地方存在类似的不准确表达。对于 G(x,t)/(x−t)^α 也请作同样修正。</w:t>
            </w:r>
          </w:p>
        </w:tc>
      </w:tr>
    </w:tbl>
    <w:p>
      <w:pPr>
        <w:spacing w:after="20" w:line="20" w:lineRule="exact"/>
      </w:pPr>
    </w:p>
    <w:p>
      <w:pPr>
        <w:pStyle w:val="Heading2"/>
      </w:pPr>
      <w:r>
        <w:t>R1.6: Comment 6 / 意见 6</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In Page 2, the line spacing in the lower part of the page is noticeably larger than that in the upper part. Please correct this formatting inconsistency and ensure that line spacing is uniform throughout the manuscript.</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第 2 页下半部分的行距明显大于上半部分。请修正这一格式不一致问题，并确保全文行距统一。</w:t>
            </w:r>
          </w:p>
        </w:tc>
      </w:tr>
    </w:tbl>
    <w:p>
      <w:pPr>
        <w:spacing w:after="20" w:line="20" w:lineRule="exact"/>
      </w:pPr>
    </w:p>
    <w:p>
      <w:pPr>
        <w:pStyle w:val="Heading2"/>
      </w:pPr>
      <w:r>
        <w:t>R1.7: Comment 7 / 意见 7</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Equation (9), what is R? is it the set of real numbers. If then denote it by ℝ.</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关于公式（9），R 是什么？它是否表示实数集？如果是，请记作 ℝ。</w:t>
            </w:r>
          </w:p>
        </w:tc>
      </w:tr>
    </w:tbl>
    <w:p>
      <w:pPr>
        <w:spacing w:after="20" w:line="20" w:lineRule="exact"/>
      </w:pPr>
    </w:p>
    <w:p>
      <w:pPr>
        <w:pStyle w:val="Heading2"/>
      </w:pPr>
      <w:r>
        <w:t>R1.8: Comment 8 / 意见 8</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The authors should state in the paper what kind of the software package has used to obtain the required results in the beginning of the numerical examples section.</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作者应在数值算例部分开头说明使用了何种软件包来获得所需结果。</w:t>
            </w:r>
          </w:p>
        </w:tc>
      </w:tr>
    </w:tbl>
    <w:p>
      <w:pPr>
        <w:spacing w:after="20" w:line="20" w:lineRule="exact"/>
      </w:pPr>
    </w:p>
    <w:p>
      <w:pPr>
        <w:pStyle w:val="Heading2"/>
      </w:pPr>
      <w:r>
        <w:t>R1.9: Comment 9 / 意见 9</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The authors should give some more details about the effects observed in the numerical tables and figures in the numerical examples section.</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作者应更详细地说明数值算例部分各数值表格和图中观察到的现象。</w:t>
            </w:r>
          </w:p>
        </w:tc>
      </w:tr>
    </w:tbl>
    <w:p>
      <w:pPr>
        <w:spacing w:after="20" w:line="20" w:lineRule="exact"/>
      </w:pPr>
    </w:p>
    <w:p>
      <w:pPr>
        <w:pStyle w:val="Heading2"/>
      </w:pPr>
      <w:r>
        <w:t>R1.10: Comment 10 / 意见 10</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Write all references in a consistent format. For example, in References 4 and 16, ”pp.” is written before the page numbers, whereas in the other references it is not.</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所有参考文献应采用一致的格式。例如，参考文献 4 和 16 在页码前写有“pp.”，而其他参考文献没有。</w:t>
            </w:r>
          </w:p>
        </w:tc>
      </w:tr>
    </w:tbl>
    <w:p>
      <w:pPr>
        <w:spacing w:after="20" w:line="20" w:lineRule="exact"/>
      </w:pPr>
    </w:p>
    <w:p>
      <w:pPr>
        <w:pStyle w:val="Heading2"/>
      </w:pPr>
      <w:r>
        <w:t>R1.11: Comment 11 / 意见 11</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Moreover, there are some minor grammatical inconsistencies throughout the manuscript which need to be corrected.</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此外，稿件中仍有一些细微的语法不一致问题，需要予以修正。</w:t>
            </w:r>
          </w:p>
        </w:tc>
      </w:tr>
    </w:tbl>
    <w:p>
      <w:pPr>
        <w:spacing w:after="20" w:line="20" w:lineRule="exact"/>
      </w:pPr>
    </w:p>
    <w:p>
      <w:pPr>
        <w:pStyle w:val="Heading1"/>
      </w:pPr>
      <w:r>
        <w:t>Reviewer #2 / 审稿人 #2</w:t>
      </w:r>
    </w:p>
    <w:p>
      <w:pPr>
        <w:pStyle w:val="Heading2"/>
      </w:pPr>
      <w:r>
        <w:t>R2.1: Comment 1 / 意见 1</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40" w:line="252" w:lineRule="auto"/>
            </w:pPr>
            <w:r>
              <w:rPr>
                <w:rFonts w:ascii="Times New Roman" w:hAnsi="Times New Roman" w:cs="Times New Roman" w:eastAsia="Microsoft YaHei"/>
                <w:color w:val="000000"/>
                <w:sz w:val="21"/>
              </w:rPr>
              <w:t>Lack of theoretical analysis. The manuscript does not provide rigorous results regarding:</w:t>
            </w:r>
          </w:p>
          <w:p>
            <w:pPr>
              <w:pStyle w:val="ListBullet"/>
              <w:spacing w:after="40" w:line="252" w:lineRule="auto" w:before="0"/>
              <w:ind w:left="312" w:hanging="170"/>
            </w:pPr>
            <w:r>
              <w:rPr>
                <w:rFonts w:ascii="Times New Roman" w:hAnsi="Times New Roman" w:cs="Times New Roman" w:eastAsia="Microsoft YaHei"/>
                <w:color w:val="000000"/>
                <w:sz w:val="21"/>
              </w:rPr>
              <w:t>Equivalence between the original singular integral equation and the transformed differential system;</w:t>
            </w:r>
          </w:p>
          <w:p>
            <w:pPr>
              <w:pStyle w:val="ListBullet"/>
              <w:spacing w:after="40" w:line="252" w:lineRule="auto" w:before="0"/>
              <w:ind w:left="312" w:hanging="170"/>
            </w:pPr>
            <w:r>
              <w:rPr>
                <w:rFonts w:ascii="Times New Roman" w:hAnsi="Times New Roman" w:cs="Times New Roman" w:eastAsia="Microsoft YaHei"/>
                <w:color w:val="000000"/>
                <w:sz w:val="21"/>
              </w:rPr>
              <w:t>Stability of the proposed transformation;</w:t>
            </w:r>
          </w:p>
          <w:p>
            <w:pPr>
              <w:pStyle w:val="ListBullet"/>
              <w:spacing w:after="40" w:line="252" w:lineRule="auto" w:before="0"/>
              <w:ind w:left="312" w:hanging="170"/>
            </w:pPr>
            <w:r>
              <w:rPr>
                <w:rFonts w:ascii="Times New Roman" w:hAnsi="Times New Roman" w:cs="Times New Roman" w:eastAsia="Microsoft YaHei"/>
                <w:color w:val="000000"/>
                <w:sz w:val="21"/>
              </w:rPr>
              <w:t>Convergence of the iterative neural-network procedure;</w:t>
            </w:r>
          </w:p>
          <w:p>
            <w:pPr>
              <w:pStyle w:val="ListBullet"/>
              <w:spacing w:after="0" w:line="252" w:lineRule="auto" w:before="0"/>
              <w:ind w:left="312" w:hanging="170"/>
            </w:pPr>
            <w:r>
              <w:rPr>
                <w:rFonts w:ascii="Times New Roman" w:hAnsi="Times New Roman" w:cs="Times New Roman" w:eastAsia="Microsoft YaHei"/>
                <w:color w:val="000000"/>
                <w:sz w:val="21"/>
              </w:rPr>
              <w:t>Influence of the parameter ε introduced near singular points.</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40" w:line="252" w:lineRule="auto"/>
            </w:pPr>
            <w:r>
              <w:rPr>
                <w:rFonts w:ascii="Times New Roman" w:hAnsi="Times New Roman" w:cs="Times New Roman" w:eastAsia="Microsoft YaHei"/>
                <w:color w:val="000000"/>
                <w:sz w:val="21"/>
              </w:rPr>
              <w:t>缺少理论分析。稿件没有就以下方面给出严格结果：</w:t>
            </w:r>
          </w:p>
          <w:p>
            <w:pPr>
              <w:pStyle w:val="ListBullet"/>
              <w:spacing w:after="40" w:line="252" w:lineRule="auto" w:before="0"/>
              <w:ind w:left="312" w:hanging="170"/>
            </w:pPr>
            <w:r>
              <w:rPr>
                <w:rFonts w:ascii="Times New Roman" w:hAnsi="Times New Roman" w:cs="Times New Roman" w:eastAsia="Microsoft YaHei"/>
                <w:color w:val="000000"/>
                <w:sz w:val="21"/>
              </w:rPr>
              <w:t>原奇异积分方程与变换后的微分系统之间的等价性；</w:t>
            </w:r>
          </w:p>
          <w:p>
            <w:pPr>
              <w:pStyle w:val="ListBullet"/>
              <w:spacing w:after="40" w:line="252" w:lineRule="auto" w:before="0"/>
              <w:ind w:left="312" w:hanging="170"/>
            </w:pPr>
            <w:r>
              <w:rPr>
                <w:rFonts w:ascii="Times New Roman" w:hAnsi="Times New Roman" w:cs="Times New Roman" w:eastAsia="Microsoft YaHei"/>
                <w:color w:val="000000"/>
                <w:sz w:val="21"/>
              </w:rPr>
              <w:t>所提出变换的稳定性；</w:t>
            </w:r>
          </w:p>
          <w:p>
            <w:pPr>
              <w:pStyle w:val="ListBullet"/>
              <w:spacing w:after="40" w:line="252" w:lineRule="auto" w:before="0"/>
              <w:ind w:left="312" w:hanging="170"/>
            </w:pPr>
            <w:r>
              <w:rPr>
                <w:rFonts w:ascii="Times New Roman" w:hAnsi="Times New Roman" w:cs="Times New Roman" w:eastAsia="Microsoft YaHei"/>
                <w:color w:val="000000"/>
                <w:sz w:val="21"/>
              </w:rPr>
              <w:t>迭代神经网络过程的收敛性；</w:t>
            </w:r>
          </w:p>
          <w:p>
            <w:pPr>
              <w:pStyle w:val="ListBullet"/>
              <w:spacing w:after="0" w:line="252" w:lineRule="auto" w:before="0"/>
              <w:ind w:left="312" w:hanging="170"/>
            </w:pPr>
            <w:r>
              <w:rPr>
                <w:rFonts w:ascii="Times New Roman" w:hAnsi="Times New Roman" w:cs="Times New Roman" w:eastAsia="Microsoft YaHei"/>
                <w:color w:val="000000"/>
                <w:sz w:val="21"/>
              </w:rPr>
              <w:t>在奇异点附近引入的参数 ε 的影响。</w:t>
            </w:r>
          </w:p>
        </w:tc>
      </w:tr>
    </w:tbl>
    <w:p>
      <w:pPr>
        <w:spacing w:after="20" w:line="20" w:lineRule="exact"/>
      </w:pPr>
    </w:p>
    <w:p>
      <w:pPr>
        <w:pStyle w:val="Heading2"/>
      </w:pPr>
      <w:r>
        <w:t>R2.2: Comment 2 / 意见 2</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Insufficient comparison with existing methods. The effectiveness of D-AIM is demonstrated only through benchmark examples. Comparisons with established numerical methods, such as collocation methods, spectral methods, boundary element techniques, or existing PINN-based approaches, are missing.</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与现有方法的比较不充分。D-AIM 的有效性仅通过基准算例得到展示，缺少与配置法、谱方法、边界元技术或现有基于 PINN 的方法等成熟数值方法的比较。</w:t>
            </w:r>
          </w:p>
        </w:tc>
      </w:tr>
    </w:tbl>
    <w:p>
      <w:pPr>
        <w:spacing w:after="20" w:line="20" w:lineRule="exact"/>
      </w:pPr>
    </w:p>
    <w:p>
      <w:pPr>
        <w:pStyle w:val="Heading2"/>
      </w:pPr>
      <w:r>
        <w:t>R2.3: Comment 3 / 意见 3</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Sensitivity to hyperparameters. The network architecture, loss weights, sampling strategy, and values of ε appear to be selected empirically. A sensitivity study would significantly strengthen the manuscript.</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对超参数的敏感性。网络结构、损失权重、采样策略以及 ε 的取值似乎均凭经验选定。开展敏感性研究将显著增强稿件的说服力。</w:t>
            </w:r>
          </w:p>
        </w:tc>
      </w:tr>
    </w:tbl>
    <w:p>
      <w:pPr>
        <w:spacing w:after="20" w:line="20" w:lineRule="exact"/>
      </w:pPr>
    </w:p>
    <w:p>
      <w:pPr>
        <w:pStyle w:val="Heading2"/>
      </w:pPr>
      <w:r>
        <w:t>R2.4: Comment 4 / 意见 4</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Computational efficiency. Training time, hardware specifications, convergence history, and computational complexity are not discussed. These aspects are important when assessing the practical usefulness of deep learning-based numerical methods.</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计算效率。稿件没有讨论训练时间、硬件配置、收敛历史和计算复杂度，而这些方面对于评估基于深度学习的数值方法的实际应用价值十分重要。</w:t>
            </w:r>
          </w:p>
        </w:tc>
      </w:tr>
    </w:tbl>
    <w:p>
      <w:pPr>
        <w:spacing w:after="20" w:line="20" w:lineRule="exact"/>
      </w:pPr>
    </w:p>
    <w:p>
      <w:pPr>
        <w:pStyle w:val="Heading2"/>
      </w:pPr>
      <w:r>
        <w:t>R2.5: Comment 5 / 意见 5</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The literature review should better position the proposed method with respect to PINNs, XPINNs, BINNs, DeepONets, and neural operator frameworks.</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文献综述应更好地说明所提出方法相对于 PINN、XPINN、BINN、DeepONet 和神经算子框架的定位。</w:t>
            </w:r>
          </w:p>
        </w:tc>
      </w:tr>
    </w:tbl>
    <w:p>
      <w:pPr>
        <w:spacing w:after="20" w:line="20" w:lineRule="exact"/>
      </w:pPr>
    </w:p>
    <w:p>
      <w:pPr>
        <w:pStyle w:val="Heading2"/>
      </w:pPr>
      <w:r>
        <w:t>R2.6: Comment 6 / 意见 6</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Several grammatical and stylistic issues remain and careful proofreading is recommended.</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稿件中仍存在若干语法和文体问题，建议认真校对。</w:t>
            </w:r>
          </w:p>
        </w:tc>
      </w:tr>
    </w:tbl>
    <w:p>
      <w:pPr>
        <w:spacing w:after="20" w:line="20" w:lineRule="exact"/>
      </w:pPr>
    </w:p>
    <w:p>
      <w:pPr>
        <w:pStyle w:val="Heading2"/>
      </w:pPr>
      <w:r>
        <w:t>R2.7: Comment 7 / 意见 7</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Error distributions and convergence plots would be more informative than solution plots alone.</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与仅展示解的图相比，误差分布图和收敛曲线将提供更多信息。</w:t>
            </w:r>
          </w:p>
        </w:tc>
      </w:tr>
    </w:tbl>
    <w:p>
      <w:pPr>
        <w:spacing w:after="20" w:line="20" w:lineRule="exact"/>
      </w:pPr>
    </w:p>
    <w:p>
      <w:pPr>
        <w:pStyle w:val="Heading2"/>
      </w:pPr>
      <w:r>
        <w:t>R2.8: Comment 8 / 意见 8</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A schematic workflow illustrating the D-AIM procedure would improve readability.</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增加一幅说明 D-AIM 流程的示意图将有助于提高可读性。</w:t>
            </w:r>
          </w:p>
        </w:tc>
      </w:tr>
    </w:tbl>
    <w:p>
      <w:pPr>
        <w:spacing w:after="20" w:line="20" w:lineRule="exact"/>
      </w:pPr>
    </w:p>
    <w:p>
      <w:pPr>
        <w:pStyle w:val="Heading2"/>
      </w:pPr>
      <w:r>
        <w:t>R2.9: Comment 9 / 意见 9</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A table summarizing the notation would help readers follow the derivations.</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增加一张符号汇总表将有助于读者理解推导过程。</w:t>
            </w:r>
          </w:p>
        </w:tc>
      </w:tr>
    </w:tbl>
    <w:p>
      <w:pPr>
        <w:spacing w:after="20" w:line="20" w:lineRule="exact"/>
      </w:pPr>
    </w:p>
    <w:sectPr w:rsidR="00FC693F" w:rsidRPr="0006063C" w:rsidSect="00034616">
      <w:headerReference w:type="default" r:id="rId9"/>
      <w:headerReference w:type="even" r:id="rId10"/>
      <w:footerReference w:type="default" r:id="rId11"/>
      <w:pgSz w:w="11906" w:h="16838"/>
      <w:pgMar w:top="1276" w:right="1049" w:bottom="1276" w:left="1332" w:header="539"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jc w:val="center"/>
    </w:pPr>
    <w:r>
      <w:fldChar w:fldCharType="begin" w:dirty="true"/>
    </w:r>
    <w:r>
      <w:instrText xml:space="preserve"> PAGE </w:instrText>
    </w:r>
    <w:r>
      <w:fldChar w:fldCharType="separate"/>
    </w:r>
    <w:r>
      <w:rPr>
        <w:rFonts w:ascii="Times New Roman" w:hAnsi="Times New Roman" w:cs="Times New Roman" w:eastAsia="Microsoft YaHei"/>
        <w:color w:val="000000"/>
        <w:sz w:val="18"/>
      </w:rPr>
      <w:t>1</w:t>
    </w:r>
    <w:r>
      <w:fldChar w:fldCharType="end"/>
    </w:r>
    <w:r>
      <w:rPr>
        <w:rFonts w:ascii="Times New Roman" w:hAnsi="Times New Roman" w:cs="Times New Roman" w:eastAsia="Microsoft YaHei"/>
        <w:color w:val="000000"/>
        <w:sz w:val="18"/>
      </w:rPr>
      <w:t xml:space="preserve"> / </w:t>
    </w:r>
    <w:r>
      <w:fldChar w:fldCharType="begin" w:dirty="true"/>
    </w:r>
    <w:r>
      <w:instrText xml:space="preserve"> NUMPAGES </w:instrText>
    </w:r>
    <w:r>
      <w:fldChar w:fldCharType="separate"/>
    </w:r>
    <w:r>
      <w:rPr>
        <w:rFonts w:ascii="Times New Roman" w:hAnsi="Times New Roman" w:cs="Times New Roman" w:eastAsia="Microsoft YaHei"/>
        <w:color w:val="00000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24" w:val="left"/>
      </w:tabs>
      <w:spacing w:after="40"/>
      <w:pBdr>
        <w:bottom w:val="single" w:sz="4" w:space="2" w:color="000000"/>
      </w:pBdr>
    </w:pPr>
    <w:r>
      <w:rPr>
        <w:rFonts w:ascii="Times New Roman" w:hAnsi="Times New Roman" w:cs="Times New Roman" w:eastAsia="Microsoft YaHei"/>
        <w:color w:val="787878"/>
        <w:sz w:val="17"/>
      </w:rPr>
      <w:t>ELSCAM-D-26-01599</w:t>
    </w:r>
    <w:r>
      <w:tab/>
    </w:r>
    <w:r>
      <w:rPr>
        <w:rFonts w:ascii="Times New Roman" w:hAnsi="Times New Roman" w:cs="Times New Roman" w:eastAsia="Microsoft YaHei"/>
        <w:color w:val="787878"/>
        <w:sz w:val="17"/>
      </w:rPr>
      <w:t>审稿意见中英对照</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24" w:val="left"/>
      </w:tabs>
      <w:spacing w:after="40"/>
      <w:pBdr>
        <w:bottom w:val="single" w:sz="4" w:space="2" w:color="000000"/>
      </w:pBdr>
    </w:pPr>
    <w:r>
      <w:rPr>
        <w:rFonts w:ascii="Times New Roman" w:hAnsi="Times New Roman" w:cs="Times New Roman" w:eastAsia="Microsoft YaHei"/>
        <w:color w:val="787878"/>
        <w:sz w:val="17"/>
      </w:rPr>
      <w:t>审稿意见中英对照</w:t>
    </w:r>
    <w:r>
      <w:tab/>
    </w:r>
    <w:r>
      <w:rPr>
        <w:rFonts w:ascii="Times New Roman" w:hAnsi="Times New Roman" w:cs="Times New Roman" w:eastAsia="Microsoft YaHei"/>
        <w:color w:val="787878"/>
        <w:sz w:val="17"/>
      </w:rPr>
      <w:t>ELSCAM-D-26-01599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52" w:lineRule="auto"/>
    </w:pPr>
    <w:rPr>
      <w:rFonts w:ascii="Times New Roman" w:hAnsi="Times New Roman"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eastAsia="Microsoft YaHei"/>
      <w:b/>
      <w:bCs/>
      <w:color w:val="1E466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before="0" w:after="0" w:line="240" w:lineRule="auto"/>
      <w:ind w:left="0"/>
    </w:pPr>
    <w:rPr>
      <w:rFonts w:ascii="Times New Roman" w:hAnsi="Times New Roman" w:eastAsia="Microsoft YaHei"/>
      <w:color w:val="1E466E"/>
      <w:sz w:val="18"/>
    </w:rPr>
  </w:style>
  <w:style w:type="paragraph" w:customStyle="1" w:styleId="TOC2">
    <w:name w:val="TOC 2"/>
    <w:pPr>
      <w:spacing w:before="0" w:after="0" w:line="240" w:lineRule="auto"/>
      <w:ind w:left="312"/>
    </w:pPr>
    <w:rPr>
      <w:rFonts w:ascii="Times New Roman" w:hAnsi="Times New Roman" w:eastAsia="Microsoft YaHei"/>
      <w:color w:val="1E46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Reviewer Comments / 审稿意见中英对照</dc:title>
  <dc:subject>ELSCAM-D-26-01599 reviewer comments only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