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微軟正黑體" w:cs="微軟正黑體" w:eastAsia="微軟正黑體" w:hAnsi="微軟正黑體"/>
          <w:b/>
          <w:bCs/>
          <w:color w:val="8C2740"/>
          <w:sz w:val="40"/>
          <w:szCs w:val="40"/>
        </w:rPr>
        <w:t xml:space="preserve">115 學年度　體育班升學說明</w:t>
      </w:r>
    </w:p>
    <w:p>
      <w:pPr>
        <w:spacing w:after="240" w:before="0" w:line="300"/>
        <w:jc w:val="center"/>
      </w:pPr>
      <w:r>
        <w:rPr>
          <w:rFonts w:ascii="微軟正黑體" w:cs="微軟正黑體" w:eastAsia="微軟正黑體" w:hAnsi="微軟正黑體"/>
          <w:color w:val="6B5F5A"/>
          <w:sz w:val="22"/>
          <w:szCs w:val="22"/>
        </w:rPr>
        <w:t xml:space="preserve">以「個人申請」為主要管道　—　給學生與家長</w:t>
      </w:r>
    </w:p>
    <w:tbl>
      <w:tblPr>
        <w:tblW w:type="dxa" w:w="15038"/>
        <w:tblBorders>
          <w:top w:val="none"/>
          <w:left w:val="single" w:color="8C2740" w:sz="18"/>
          <w:bottom w:val="none"/>
          <w:right w:val="none"/>
          <w:insideH w:val="none"/>
          <w:insideV w:val="none"/>
        </w:tblBorders>
      </w:tblPr>
      <w:tblGrid>
        <w:gridCol w:w="15038"/>
      </w:tblGrid>
      <w:tr>
        <w:tc>
          <w:tcPr>
            <w:tcW w:type="dxa" w:w="15038"/>
            <w:shd w:fill="F6E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22"/>
                <w:szCs w:val="22"/>
              </w:rPr>
              <w:t xml:space="preserve">一句話結論：</w:t>
            </w:r>
            <w:r>
              <w:rPr>
                <w:rFonts w:ascii="微軟正黑體" w:cs="微軟正黑體" w:eastAsia="微軟正黑體" w:hAnsi="微軟正黑體"/>
                <w:color w:val="2B2B2B"/>
                <w:sz w:val="22"/>
                <w:szCs w:val="22"/>
              </w:rPr>
              <w:t xml:space="preserve">沒有比賽成績，運動績優的三條路都關著；主戰場是個人申請，而學科要押的是</w:t>
            </w: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22"/>
                <w:szCs w:val="22"/>
              </w:rPr>
              <w:t xml:space="preserve">國文和英文</w:t>
            </w:r>
            <w:r>
              <w:rPr>
                <w:rFonts w:ascii="微軟正黑體" w:cs="微軟正黑體" w:eastAsia="微軟正黑體" w:hAnsi="微軟正黑體"/>
                <w:color w:val="2B2B2B"/>
                <w:sz w:val="22"/>
                <w:szCs w:val="22"/>
              </w:rPr>
              <w:t xml:space="preserve">，不是數學。體能好的人還有一張自己造得出來的牌：</w:t>
            </w: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22"/>
                <w:szCs w:val="22"/>
              </w:rPr>
              <w:t xml:space="preserve">大學術科考試（體育組）</w:t>
            </w:r>
            <w:r>
              <w:rPr>
                <w:rFonts w:ascii="微軟正黑體" w:cs="微軟正黑體" w:eastAsia="微軟正黑體" w:hAnsi="微軟正黑體"/>
                <w:color w:val="2B2B2B"/>
                <w:sz w:val="22"/>
                <w:szCs w:val="22"/>
              </w:rPr>
              <w:t xml:space="preserve">，它不看比賽成績。</w:t>
            </w:r>
          </w:p>
        </w:tc>
      </w:tr>
    </w:tbl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一、為什麼是個人申請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體育班學生升大學有四條路，前三條都以運動賽會成績為門票：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運動績優甄審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：須以</w:t>
      </w: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國家代表隊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身分參加國際賽會並達規定名次（奧運、亞運、世錦賽、亞錦賽等）。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運動績優甄試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：須有</w:t>
      </w: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全國性賽會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成績——全國運動會、全民運動會、全國中等學校運動會前八名，或中等學校運動聯賽最優級組前八名。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各校運動績優單獨招生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：各校自訂，多數仍要求縣市級以上比賽成績或校隊資歷。</w:t>
      </w:r>
    </w:p>
    <w:p>
      <w:pPr>
        <w:spacing w:after="100" w:before="10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這三條路都需要「拿得出來的名次」。沒有比賽成績時，能走的是第四條：</w:t>
      </w: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大學個人申請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。</w:t>
      </w:r>
    </w:p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二、應屆生實際能填的範圍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115 學年度全部 2,206 個校系中，體育班打得到的落點有 100 個。但其中</w:t>
      </w: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15 個是「青年儲蓄帳戶組」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——那是高中畢業後先去工作或體驗 2～3 年才能用的管道，</w:t>
      </w: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應屆生填不了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，而且每系名額多半只有 1 名；另有 2 個公費生名額另有條件。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扣掉之後，</w:t>
      </w: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應屆生實際可填的是 83 系、1,495 個名額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。其中 17 系不設任何檢定標準，11 系學測完全不佔甄選總成績（大葉、實踐、開南、佛光）。</w:t>
      </w:r>
    </w:p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三、主力科目：國文第一，英文第二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把 82 個校系（已扣除舞蹈類）攤開，統計每一科在三個關卡出現的次數：</w:t>
      </w:r>
    </w:p>
    <w:tbl>
      <w:tblPr>
        <w:tblW w:type="dxa" w:w="10000"/>
        <w:tblBorders>
          <w:top w:val="single" w:color="D8CCC6" w:sz="4"/>
          <w:left w:val="none"/>
          <w:bottom w:val="single" w:color="D8CCC6" w:sz="4"/>
          <w:right w:val="none"/>
          <w:insideH w:val="single" w:color="E7DCD6" w:sz="2"/>
          <w:insideV w:val="single" w:color="E7DCD6" w:sz="2"/>
        </w:tblBorders>
      </w:tblPr>
      <w:tblGrid>
        <w:gridCol w:w="2200"/>
        <w:gridCol w:w="2600"/>
        <w:gridCol w:w="2600"/>
        <w:gridCol w:w="2600"/>
      </w:tblGrid>
      <w:tr>
        <w:trPr>
          <w:tblHeader/>
        </w:trPr>
        <w:tc>
          <w:tcPr>
            <w:tcW w:type="dxa" w:w="22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科目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設檢定標準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一階篩選會用到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二階採計學測</w:t>
            </w:r>
          </w:p>
        </w:tc>
      </w:tr>
      <w:tr>
        <w:tc>
          <w:tcPr>
            <w:tcW w:type="dxa" w:w="22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19"/>
                <w:szCs w:val="19"/>
              </w:rPr>
              <w:t xml:space="preserve">國文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41 系（50%）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67 系（81%）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63 系（76%）</w:t>
            </w:r>
          </w:p>
        </w:tc>
      </w:tr>
      <w:tr>
        <w:tc>
          <w:tcPr>
            <w:tcW w:type="dxa" w:w="22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19"/>
                <w:szCs w:val="19"/>
              </w:rPr>
              <w:t xml:space="preserve">英文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28 系（34%）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54 系（65%）</w:t>
            </w:r>
          </w:p>
        </w:tc>
        <w:tc>
          <w:tcPr>
            <w:tcW w:type="dxa" w:w="2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56 系（68%）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9"/>
                <w:szCs w:val="19"/>
              </w:rPr>
              <w:t xml:space="preserve">社會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13 系（15%）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23 系（28%）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25 系（30%）</w:t>
            </w:r>
          </w:p>
        </w:tc>
      </w:tr>
      <w:tr>
        <w:tc>
          <w:tcPr>
            <w:tcW w:type="dxa" w:w="22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9"/>
                <w:szCs w:val="19"/>
              </w:rPr>
              <w:t xml:space="preserve">數學 B</w:t>
            </w:r>
          </w:p>
        </w:tc>
        <w:tc>
          <w:tcPr>
            <w:tcW w:type="dxa" w:w="2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10 系（12%）</w:t>
            </w:r>
          </w:p>
        </w:tc>
        <w:tc>
          <w:tcPr>
            <w:tcW w:type="dxa" w:w="2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11 系（13%）</w:t>
            </w:r>
          </w:p>
        </w:tc>
        <w:tc>
          <w:tcPr>
            <w:tcW w:type="dxa" w:w="2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12 系（14%）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9"/>
                <w:szCs w:val="19"/>
              </w:rPr>
              <w:t xml:space="preserve">自然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5 系（6%）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10 系（12%）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9 系（10%）</w:t>
            </w:r>
          </w:p>
        </w:tc>
      </w:tr>
      <w:tr>
        <w:tc>
          <w:tcPr>
            <w:tcW w:type="dxa" w:w="22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9"/>
                <w:szCs w:val="19"/>
              </w:rPr>
              <w:t xml:space="preserve">數學 A</w:t>
            </w:r>
          </w:p>
        </w:tc>
        <w:tc>
          <w:tcPr>
            <w:tcW w:type="dxa" w:w="2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8 系（9%）</w:t>
            </w:r>
          </w:p>
        </w:tc>
        <w:tc>
          <w:tcPr>
            <w:tcW w:type="dxa" w:w="2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2 系（2%）</w:t>
            </w:r>
          </w:p>
        </w:tc>
        <w:tc>
          <w:tcPr>
            <w:tcW w:type="dxa" w:w="2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9"/>
                <w:szCs w:val="19"/>
              </w:rPr>
              <w:t xml:space="preserve">2 系（2%）</w:t>
            </w:r>
          </w:p>
        </w:tc>
      </w:tr>
    </w:tbl>
    <w:p>
      <w:pPr>
        <w:spacing w:after="12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tbl>
      <w:tblPr>
        <w:tblW w:type="dxa" w:w="15038"/>
        <w:tblBorders>
          <w:top w:val="none"/>
          <w:left w:val="single" w:color="8C2740" w:sz="18"/>
          <w:bottom w:val="none"/>
          <w:right w:val="none"/>
          <w:insideH w:val="none"/>
          <w:insideV w:val="none"/>
        </w:tblBorders>
      </w:tblPr>
      <w:tblGrid>
        <w:gridCol w:w="15038"/>
      </w:tblGrid>
      <w:tr>
        <w:tc>
          <w:tcPr>
            <w:tcW w:type="dxa" w:w="15038"/>
            <w:shd w:fill="F6E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21"/>
                <w:szCs w:val="21"/>
              </w:rPr>
              <w:t xml:space="preserve">怎麼讀這張表：</w:t>
            </w:r>
          </w:p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20"/>
                <w:szCs w:val="20"/>
              </w:rPr>
              <w:t xml:space="preserve">國文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 是絕對主力——五成的系設國文檢定、八成的系一階會篩國文。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20"/>
                <w:szCs w:val="20"/>
              </w:rPr>
              <w:t xml:space="preserve">英文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 是第二主力。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20"/>
                <w:szCs w:val="20"/>
              </w:rPr>
              <w:t xml:space="preserve">社會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 排第三，觀光、休閒、餐旅類的系常用它當篩選科目。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20"/>
                <w:szCs w:val="20"/>
              </w:rPr>
              <w:t xml:space="preserve">數學 A 只有 2 個系會在一階用到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。數學 B 也只有 13%，集中在幾所公立體育系（臺南、屏東、高師大、臺中教大）。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20"/>
                <w:szCs w:val="20"/>
              </w:rPr>
              <w:t xml:space="preserve">把有限的讀書時間押在國文和英文，效益遠高於數學。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四、四個專長各自能走哪裡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有些校系的第二階段是「自辦專長術科測驗」，佔分很高（50–80%），但這類系會限定收哪些運動項目：</w:t>
      </w:r>
    </w:p>
    <w:tbl>
      <w:tblPr>
        <w:tblW w:type="dxa" w:w="14038"/>
        <w:tblBorders>
          <w:top w:val="single" w:color="D8CCC6" w:sz="4"/>
          <w:left w:val="none"/>
          <w:bottom w:val="single" w:color="D8CCC6" w:sz="4"/>
          <w:right w:val="none"/>
          <w:insideH w:val="single" w:color="E7DCD6" w:sz="2"/>
          <w:insideV w:val="single" w:color="E7DCD6" w:sz="2"/>
        </w:tblBorders>
      </w:tblPr>
      <w:tblGrid>
        <w:gridCol w:w="1700"/>
        <w:gridCol w:w="4200"/>
        <w:gridCol w:w="4300"/>
        <w:gridCol w:w="3838"/>
      </w:tblGrid>
      <w:tr>
        <w:trPr>
          <w:tblHeader/>
        </w:trPr>
        <w:tc>
          <w:tcPr>
            <w:tcW w:type="dxa" w:w="17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專長</w:t>
            </w:r>
          </w:p>
        </w:tc>
        <w:tc>
          <w:tcPr>
            <w:tcW w:type="dxa" w:w="42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自辦專長術科收不收</w:t>
            </w:r>
          </w:p>
        </w:tc>
        <w:tc>
          <w:tcPr>
            <w:tcW w:type="dxa" w:w="43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說明</w:t>
            </w:r>
          </w:p>
        </w:tc>
        <w:tc>
          <w:tcPr>
            <w:tcW w:type="dxa" w:w="3838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沒對上的話走哪裡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18"/>
                <w:szCs w:val="18"/>
              </w:rPr>
              <w:t xml:space="preserve">田徑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臺中教大 運動專長組（男 200 公尺 1 名、女 100 公尺跨欄 1 名）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限這兩個項目，其餘田徑項目不收</w:t>
            </w:r>
          </w:p>
        </w:tc>
        <w:tc>
          <w:tcPr>
            <w:tcW w:type="dxa" w:w="3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走大學術科考試或一般組</w:t>
            </w:r>
          </w:p>
        </w:tc>
      </w:tr>
      <w:tr>
        <w:tc>
          <w:tcPr>
            <w:tcW w:type="dxa" w:w="1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18"/>
                <w:szCs w:val="18"/>
              </w:rPr>
              <w:t xml:space="preserve">羽球</w:t>
            </w:r>
          </w:p>
        </w:tc>
        <w:tc>
          <w:tcPr>
            <w:tcW w:type="dxa" w:w="42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臺中教大 運動專長組（男 2 名、女 1 名）</w:t>
            </w:r>
          </w:p>
        </w:tc>
        <w:tc>
          <w:tcPr>
            <w:tcW w:type="dxa" w:w="43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名額極少</w:t>
            </w:r>
          </w:p>
        </w:tc>
        <w:tc>
          <w:tcPr>
            <w:tcW w:type="dxa" w:w="38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走大學術科考試或一般組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18"/>
                <w:szCs w:val="18"/>
              </w:rPr>
              <w:t xml:space="preserve">足球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臺體大 運動專長組（8 名）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名額最多的一項，但只有這一系</w:t>
            </w:r>
          </w:p>
        </w:tc>
        <w:tc>
          <w:tcPr>
            <w:tcW w:type="dxa" w:w="3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同時可走大學術科考試</w:t>
            </w:r>
          </w:p>
        </w:tc>
      </w:tr>
      <w:tr>
        <w:tc>
          <w:tcPr>
            <w:tcW w:type="dxa" w:w="1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18"/>
                <w:szCs w:val="18"/>
              </w:rPr>
              <w:t xml:space="preserve">滑輪溜冰</w:t>
            </w:r>
          </w:p>
        </w:tc>
        <w:tc>
          <w:tcPr>
            <w:tcW w:type="dxa" w:w="42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無</w:t>
            </w:r>
          </w:p>
        </w:tc>
        <w:tc>
          <w:tcPr>
            <w:tcW w:type="dxa" w:w="43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兩系都沒有這個項目的名額</w:t>
            </w:r>
          </w:p>
        </w:tc>
        <w:tc>
          <w:tcPr>
            <w:tcW w:type="dxa" w:w="38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只能走大學術科考試或一般組</w:t>
            </w:r>
          </w:p>
        </w:tc>
      </w:tr>
    </w:tbl>
    <w:p>
      <w:pPr>
        <w:spacing w:after="12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tbl>
      <w:tblPr>
        <w:tblW w:type="dxa" w:w="15038"/>
        <w:tblBorders>
          <w:top w:val="none"/>
          <w:left w:val="single" w:color="8C2740" w:sz="18"/>
          <w:bottom w:val="none"/>
          <w:right w:val="none"/>
          <w:insideH w:val="none"/>
          <w:insideV w:val="none"/>
        </w:tblBorders>
      </w:tblPr>
      <w:tblGrid>
        <w:gridCol w:w="15038"/>
      </w:tblGrid>
      <w:tr>
        <w:tc>
          <w:tcPr>
            <w:tcW w:type="dxa" w:w="15038"/>
            <w:shd w:fill="F6E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21"/>
                <w:szCs w:val="21"/>
              </w:rPr>
              <w:t xml:space="preserve">要注意兩件事：</w:t>
            </w:r>
          </w:p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1. 彰化師大運動學系（競技運動與表演藝術組）雖然一階門檻很低，但它</w:t>
            </w: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20"/>
                <w:szCs w:val="20"/>
              </w:rPr>
              <w:t xml:space="preserve">要求全運會或全中運前八名等成績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，沒有比賽成績的學生不符合資格，本說明已將它排除。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2. 自辦專長術科的名額少又限項目。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20"/>
                <w:szCs w:val="20"/>
              </w:rPr>
              <w:t xml:space="preserve">真正對所有專長都開放的是「大學術科考試（體育組）」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——它考的是五項體能，不看比賽成績，任何高三生都能報名。</w:t>
            </w:r>
          </w:p>
        </w:tc>
      </w:tr>
    </w:tbl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五、大學術科考試（體育組）：不看比賽成績的那張牌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每年 1 月在國立體育大學舉行，考五項：</w:t>
      </w: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60 公尺立姿快跑、20 秒反覆側步、一分鐘屈膝仰臥起坐、立定連續三次跳、1600 公尺跑走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。五項成績各自轉為 T 分數後加總，男女分開評比，以百分等級（PR）呈現。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報名在高三上學期（115 學年度為 10 月 27 日至 11 月 10 日），</w:t>
      </w: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由學校集體報名，錯過沒有補救管道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。這張成績繁星推薦、個人申請、分發入學三個管道都能用。</w:t>
      </w:r>
    </w:p>
    <w:p>
      <w:pPr>
        <w:spacing w:after="6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tbl>
      <w:tblPr>
        <w:tblW w:type="dxa" w:w="14038"/>
        <w:tblBorders>
          <w:top w:val="single" w:color="D8CCC6" w:sz="4"/>
          <w:left w:val="none"/>
          <w:bottom w:val="single" w:color="D8CCC6" w:sz="4"/>
          <w:right w:val="none"/>
          <w:insideH w:val="single" w:color="E7DCD6" w:sz="2"/>
          <w:insideV w:val="single" w:color="E7DCD6" w:sz="2"/>
        </w:tblBorders>
      </w:tblPr>
      <w:tblGrid>
        <w:gridCol w:w="4600"/>
        <w:gridCol w:w="2400"/>
        <w:gridCol w:w="2400"/>
        <w:gridCol w:w="4638"/>
      </w:tblGrid>
      <w:tr>
        <w:trPr>
          <w:tblHeader/>
        </w:trPr>
        <w:tc>
          <w:tcPr>
            <w:tcW w:type="dxa" w:w="46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學校・學系</w:t>
            </w:r>
          </w:p>
        </w:tc>
        <w:tc>
          <w:tcPr>
            <w:tcW w:type="dxa" w:w="24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術科佔甄選總成績</w:t>
            </w:r>
          </w:p>
        </w:tc>
        <w:tc>
          <w:tcPr>
            <w:tcW w:type="dxa" w:w="24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115 一階術科門檻</w:t>
            </w:r>
          </w:p>
        </w:tc>
        <w:tc>
          <w:tcPr>
            <w:tcW w:type="dxa" w:w="4638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臺灣師範大學 體育與運動科學系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25%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PR ≥ 75.22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一階另需 國英社自 ≥ 31/60，檢定四科</w:t>
            </w:r>
          </w:p>
        </w:tc>
      </w:tr>
      <w:tr>
        <w:tc>
          <w:tcPr>
            <w:tcW w:type="dxa" w:w="4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臺北市立大學 體育學系</w:t>
            </w:r>
          </w:p>
        </w:tc>
        <w:tc>
          <w:tcPr>
            <w:tcW w:type="dxa" w:w="24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4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PR ≥ 73.08</w:t>
            </w:r>
          </w:p>
        </w:tc>
        <w:tc>
          <w:tcPr>
            <w:tcW w:type="dxa" w:w="46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一階另需 國英 ≥ 10/30，無檢定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體育大學 運動保健學系（體育術科組）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二階才採計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一階 國英自 ≥ 24/45</w:t>
            </w:r>
          </w:p>
        </w:tc>
      </w:tr>
      <w:tr>
        <w:tc>
          <w:tcPr>
            <w:tcW w:type="dxa" w:w="4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高雄師範大學 體育學系</w:t>
            </w:r>
          </w:p>
        </w:tc>
        <w:tc>
          <w:tcPr>
            <w:tcW w:type="dxa" w:w="24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PR ≥ 14.19</w:t>
            </w:r>
          </w:p>
        </w:tc>
        <w:tc>
          <w:tcPr>
            <w:tcW w:type="dxa" w:w="46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術科幾乎是形式，卡在國英數B ≥ 21/45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彰化師範大學 運動學系（運動健康組）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二階才採計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一階 國英 ≥ 15/30、英文 ≥ 6/15</w:t>
            </w:r>
          </w:p>
        </w:tc>
      </w:tr>
      <w:tr>
        <w:tc>
          <w:tcPr>
            <w:tcW w:type="dxa" w:w="46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東華大學 體育與運動科學系</w:t>
            </w:r>
          </w:p>
        </w:tc>
        <w:tc>
          <w:tcPr>
            <w:tcW w:type="dxa" w:w="24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二階才採計</w:t>
            </w:r>
          </w:p>
        </w:tc>
        <w:tc>
          <w:tcPr>
            <w:tcW w:type="dxa" w:w="46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B2B2B"/>
                <w:sz w:val="18"/>
                <w:szCs w:val="18"/>
              </w:rPr>
              <w:t xml:space="preserve">一階 國文 ≥ 5、數學B ≥ 2、英文 ≥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六、校系明細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以下依「一階通過難度」分三群。</w:t>
      </w:r>
      <w:r>
        <w:rPr>
          <w:rFonts w:ascii="微軟正黑體" w:cs="微軟正黑體" w:eastAsia="微軟正黑體" w:hAnsi="微軟正黑體"/>
          <w:b/>
          <w:bCs/>
          <w:color w:val="2B2B2B"/>
          <w:sz w:val="20"/>
          <w:szCs w:val="20"/>
        </w:rPr>
        <w:t xml:space="preserve">「115 一階通過分數」是 115 學年度實際的篩選結果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，不是預估——例如「國英 ≥ 10/30」代表國文加英文兩科級分合計要 10 級分以上才通過該關。</w:t>
      </w:r>
      <w:r>
        <w:rPr>
          <w:rFonts w:ascii="微軟正黑體" w:cs="微軟正黑體" w:eastAsia="微軟正黑體" w:hAnsi="微軟正黑體"/>
          <w:color w:val="6B5F5A"/>
          <w:sz w:val="20"/>
          <w:szCs w:val="20"/>
        </w:rPr>
        <w:t xml:space="preserve">每一關都要通過才進第二階段。116 學年度數字會變動，僅供抓方向。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color w:val="6F1F33"/>
          <w:sz w:val="24"/>
          <w:szCs w:val="24"/>
        </w:rPr>
        <w:t xml:space="preserve">A　一階門檻最低（每科 6 級分以內）　—　13 系、219 個名額</w:t>
      </w:r>
    </w:p>
    <w:tbl>
      <w:tblPr>
        <w:tblW w:type="dxa" w:w="15038"/>
        <w:tblBorders>
          <w:top w:val="single" w:color="D8CCC6" w:sz="4"/>
          <w:left w:val="none"/>
          <w:bottom w:val="single" w:color="D8CCC6" w:sz="4"/>
          <w:right w:val="none"/>
          <w:insideH w:val="single" w:color="E7DCD6" w:sz="2"/>
          <w:insideV w:val="single" w:color="E7DCD6" w:sz="2"/>
        </w:tblBorders>
      </w:tblPr>
      <w:tblGrid>
        <w:gridCol w:w="2900"/>
        <w:gridCol w:w="800"/>
        <w:gridCol w:w="1900"/>
        <w:gridCol w:w="3100"/>
        <w:gridCol w:w="2700"/>
        <w:gridCol w:w="900"/>
        <w:gridCol w:w="2738"/>
      </w:tblGrid>
      <w:tr>
        <w:trPr>
          <w:tblHeader/>
        </w:trPr>
        <w:tc>
          <w:tcPr>
            <w:tcW w:type="dxa" w:w="2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學校・學系</w:t>
            </w:r>
          </w:p>
        </w:tc>
        <w:tc>
          <w:tcPr>
            <w:tcW w:type="dxa" w:w="8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名額</w:t>
            </w:r>
          </w:p>
        </w:tc>
        <w:tc>
          <w:tcPr>
            <w:tcW w:type="dxa" w:w="1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檢定標準</w:t>
            </w:r>
          </w:p>
        </w:tc>
        <w:tc>
          <w:tcPr>
            <w:tcW w:type="dxa" w:w="31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115 一階通過分數</w:t>
            </w:r>
          </w:p>
        </w:tc>
        <w:tc>
          <w:tcPr>
            <w:tcW w:type="dxa" w:w="27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二階學測採計</w:t>
            </w:r>
          </w:p>
        </w:tc>
        <w:tc>
          <w:tcPr>
            <w:tcW w:type="dxa" w:w="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學測佔比</w:t>
            </w:r>
          </w:p>
        </w:tc>
        <w:tc>
          <w:tcPr>
            <w:tcW w:type="dxa" w:w="2738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第二階段項目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臺灣體育運動　體育學系(運動專長組)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國英≥3/30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20%／專長術科測驗含面試 70%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臺中教育　體育學系運動專長組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無篩選（過檢定即進二階）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國文×1、數學B×1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40%／專項術科專長測驗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大葉　運動健康管理學系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國文≥1/15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20%／面試 80%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臺東　體育學系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國文≥6/15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20%／面試 60%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屏東　體育學系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國英數B自≥22/60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國文×1、英文×1、數學B×1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35%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35%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臺南　體育學系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國英數B≥18/45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國文×2、英文×1、數學B×2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30%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實踐　觀光管理學系旅運暨運動觀光事業組(高雄校區)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國文≥2/15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東華　體育與運動科學系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國文≥5/15；數學B≥2/15；英文≥3/15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國文×1.5、英文×1、數學B×1.5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30%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臺北市立　體育學系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國英≥10/30；術科 PR≥73.08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15%／面試 25%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屏東　休閒事業經營學系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英文後標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英數B≥8/30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國文×1.5、英文×1.5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20%／面試 30%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實踐　休閒產業管理學系遊憩運動企劃組(高雄校區)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數學A底標、數學B底標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國文≥3/15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長榮　運動競技學系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國文≥3/15；社會≥5/15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國文×1、社會×1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長榮　觀光與餐飲管理學系國際雙聯組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英文≥4/15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國文×2、英文×2、社會×1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</w:tbl>
    <w:p>
      <w:pPr>
        <w:spacing w:after="16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color w:val="6F1F33"/>
          <w:sz w:val="24"/>
          <w:szCs w:val="24"/>
        </w:rPr>
        <w:t xml:space="preserve">B　中段（每科 7 級分）　—　12 系、191 個名額</w:t>
      </w:r>
    </w:p>
    <w:tbl>
      <w:tblPr>
        <w:tblW w:type="dxa" w:w="15038"/>
        <w:tblBorders>
          <w:top w:val="single" w:color="D8CCC6" w:sz="4"/>
          <w:left w:val="none"/>
          <w:bottom w:val="single" w:color="D8CCC6" w:sz="4"/>
          <w:right w:val="none"/>
          <w:insideH w:val="single" w:color="E7DCD6" w:sz="2"/>
          <w:insideV w:val="single" w:color="E7DCD6" w:sz="2"/>
        </w:tblBorders>
      </w:tblPr>
      <w:tblGrid>
        <w:gridCol w:w="2900"/>
        <w:gridCol w:w="800"/>
        <w:gridCol w:w="1900"/>
        <w:gridCol w:w="3100"/>
        <w:gridCol w:w="2700"/>
        <w:gridCol w:w="900"/>
        <w:gridCol w:w="2738"/>
      </w:tblGrid>
      <w:tr>
        <w:trPr>
          <w:tblHeader/>
        </w:trPr>
        <w:tc>
          <w:tcPr>
            <w:tcW w:type="dxa" w:w="2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學校・學系</w:t>
            </w:r>
          </w:p>
        </w:tc>
        <w:tc>
          <w:tcPr>
            <w:tcW w:type="dxa" w:w="8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名額</w:t>
            </w:r>
          </w:p>
        </w:tc>
        <w:tc>
          <w:tcPr>
            <w:tcW w:type="dxa" w:w="1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檢定標準</w:t>
            </w:r>
          </w:p>
        </w:tc>
        <w:tc>
          <w:tcPr>
            <w:tcW w:type="dxa" w:w="31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115 一階通過分數</w:t>
            </w:r>
          </w:p>
        </w:tc>
        <w:tc>
          <w:tcPr>
            <w:tcW w:type="dxa" w:w="27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二階學測採計</w:t>
            </w:r>
          </w:p>
        </w:tc>
        <w:tc>
          <w:tcPr>
            <w:tcW w:type="dxa" w:w="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學測佔比</w:t>
            </w:r>
          </w:p>
        </w:tc>
        <w:tc>
          <w:tcPr>
            <w:tcW w:type="dxa" w:w="2738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第二階段項目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靜宜　觀光事業學系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(國文+英文)≥13/30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佛光　運動與健康促進管理學士學位學程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世新　觀光學系餐旅經營管理組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國文≥7/15；英文≥4/15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開南　休閒與運動管理學系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長榮　翻譯學系語文教學與觀光會展實務組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社會≥7/15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英文×2、社會×1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南華　旅遊管理學系觀光旅遊經營組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臺中教育　體育學系非運動專長組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數學B後標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數學B≥7/15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國文×1.5、英文×2、數學B×1.75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大葉　觀光休閒學系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45%／面試 55%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南華　旅遊管理學系觀光導覽組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社會≥7/15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長榮　觀光與餐飲管理學系專業技術組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國文≥7/15；社會≥7/15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國文×2、英文×1、社會×2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長榮　觀光與餐飲管理學系日韓交流組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國文×2、英文×1、社會×2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真理　運動資訊傳播學系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國文×1、社會×2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</w:tbl>
    <w:p>
      <w:pPr>
        <w:spacing w:after="16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微軟正黑體" w:cs="微軟正黑體" w:eastAsia="微軟正黑體" w:hAnsi="微軟正黑體"/>
          <w:b/>
          <w:bCs/>
          <w:color w:val="6F1F33"/>
          <w:sz w:val="24"/>
          <w:szCs w:val="24"/>
        </w:rPr>
        <w:t xml:space="preserve">C　每科 8–9 級分　—　35 系、644 個名額</w:t>
      </w:r>
    </w:p>
    <w:tbl>
      <w:tblPr>
        <w:tblW w:type="dxa" w:w="15038"/>
        <w:tblBorders>
          <w:top w:val="single" w:color="D8CCC6" w:sz="4"/>
          <w:left w:val="none"/>
          <w:bottom w:val="single" w:color="D8CCC6" w:sz="4"/>
          <w:right w:val="none"/>
          <w:insideH w:val="single" w:color="E7DCD6" w:sz="2"/>
          <w:insideV w:val="single" w:color="E7DCD6" w:sz="2"/>
        </w:tblBorders>
      </w:tblPr>
      <w:tblGrid>
        <w:gridCol w:w="2900"/>
        <w:gridCol w:w="800"/>
        <w:gridCol w:w="1900"/>
        <w:gridCol w:w="3100"/>
        <w:gridCol w:w="2700"/>
        <w:gridCol w:w="900"/>
        <w:gridCol w:w="2738"/>
      </w:tblGrid>
      <w:tr>
        <w:trPr>
          <w:tblHeader/>
        </w:trPr>
        <w:tc>
          <w:tcPr>
            <w:tcW w:type="dxa" w:w="2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學校・學系</w:t>
            </w:r>
          </w:p>
        </w:tc>
        <w:tc>
          <w:tcPr>
            <w:tcW w:type="dxa" w:w="8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名額</w:t>
            </w:r>
          </w:p>
        </w:tc>
        <w:tc>
          <w:tcPr>
            <w:tcW w:type="dxa" w:w="1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檢定標準</w:t>
            </w:r>
          </w:p>
        </w:tc>
        <w:tc>
          <w:tcPr>
            <w:tcW w:type="dxa" w:w="31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115 一階通過分數</w:t>
            </w:r>
          </w:p>
        </w:tc>
        <w:tc>
          <w:tcPr>
            <w:tcW w:type="dxa" w:w="27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二階學測採計</w:t>
            </w:r>
          </w:p>
        </w:tc>
        <w:tc>
          <w:tcPr>
            <w:tcW w:type="dxa" w:w="900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學測佔比</w:t>
            </w:r>
          </w:p>
        </w:tc>
        <w:tc>
          <w:tcPr>
            <w:tcW w:type="dxa" w:w="2738"/>
            <w:shd w:fill="F6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18"/>
                <w:szCs w:val="18"/>
              </w:rPr>
              <w:t xml:space="preserve">第二階段項目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淡江　國際觀光管理學系全英語學士班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英文≥8/15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英文×1.25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30%／團體面試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銘傳　觀光事業學系（桃園校區）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英文≥4/15；國文≥9/15；社會≥9/15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國文×1、英文×1、社會×1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臺灣體育運動　體育學系(一般組)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(國文+英文)≥16/30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輔仁　體育學系運動健康管理組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(國文+英文)≥18/30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聯合　文化觀光產業學系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國文≥9/15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國文×2、英文×2、社會×1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開南　觀光與餐飲旅館學系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國文≥8/15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臺北市立　運動健康科學系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國英自≥25/45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國文×1、英文×1.5、自然×1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45%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20%／面試 35%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臺東　文化資源與休閒產業學系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國文≥9/15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國文×1.5、社會×1.25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35%／面試 45%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東海　高齡健康與運動科學學士學位學程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國文底標、英文底標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(國文+英文)≥18/30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25%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35%／面試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東華　觀光暨休閒遊憩學系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英社≥14/30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國文×1、英文×1.5、數學B×1.5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體育　適應體育學系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國文底標、英文底標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國英≥15/30；國文≥9/15；英文≥6/15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25%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35%／面試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輔仁　體育學系體育學組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(國文+英文)≥16/30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金門　運動與休閒學系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國文≥8/15；社會≥8/15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80%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金門　觀光管理學系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國文≥9/15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70%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臺灣體育運動　運動事業管理學系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國文後標、英文後標、社會後標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(國文+英文)≥16/30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國文×1.5、英文×1.5、社會×1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嘉義　體育與健康休閒學系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國文後標、英文後標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英文≥5/15；國文≥9/15；國英≥18/30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20%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世新　觀光學系旅遊暨休閒事業管理組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國文≥8/15；英文≥4/15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國文×2、英文×1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宜蘭　休閒產業與健康促進學系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國英社≥25/45；英文≥7/15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國文×1、英文×2、社會×1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30%／口試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實踐　觀光管理學系文化與自然旅遊經營組(高雄校區)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中國文化　觀光事業學系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國文≥9/15；英文≥5/15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臺灣體育運動　休閒運動學系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國文底標、英文底標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(國文+英文)≥16/30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國文×1.25、英文×1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35%／面試 35%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中信金融管理學院　運動產業管理學士學位學程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國文≥9/15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實踐　休閒產業管理學系環境教育與休閒規劃設計組(高雄校區)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實踐　休閒產業管理學系精品咖啡烘焙經營組(高雄校區)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社會≥8/15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50%／面試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臺北教育　體育學系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數學A後標、數學B後標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社會≥6/15；英社≥16/30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英文×1、社會×1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長榮　應用日語學系觀光產業組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社會≥9/15；國文≥8/15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國文×1.5、社會×2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暨南國際　觀光休閒與餐旅管理學系餐旅管理組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英文≥8/15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英文×2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40%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臺灣體育運動　運動資訊與傳播學系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國文後標、英文後標、數學B後標、社會後標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(國文+英文+數學B+社會)≥35/60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國文×1.5、英文×1.75、數學B×1.25、社會×1.25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真理　觀光事業學系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國文≥8/15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國文×1.5、英文×1.5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35%／面試 45%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彰化師範　運動學系(運動健康組)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無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國英≥15/30；英文≥6/15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10%／面試 40%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臺北教育　體育學系（雙語教學組）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英文均標、數學A底標、數學B後標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英文≥8/15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50%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體育　運動保健學系(體育術科組)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英文底標、數學A底標、數學B底標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國英自≥24/45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國文×1、英文×1.25、自然×1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20%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30%／面試 30%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大葉　應用日語學系(觀光旅遊組)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不採計學測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45%／面試 55%</w:t>
            </w:r>
          </w:p>
        </w:tc>
      </w:tr>
      <w:tr>
        <w:tc>
          <w:tcPr>
            <w:tcW w:type="dxa" w:w="2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真理　運動管理學系</w:t>
            </w:r>
          </w:p>
        </w:tc>
        <w:tc>
          <w:tcPr>
            <w:tcW w:type="dxa" w:w="8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社會底標</w:t>
            </w:r>
          </w:p>
        </w:tc>
        <w:tc>
          <w:tcPr>
            <w:tcW w:type="dxa" w:w="31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社會≥9/15</w:t>
            </w:r>
          </w:p>
        </w:tc>
        <w:tc>
          <w:tcPr>
            <w:tcW w:type="dxa" w:w="27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國文×1、英文×1、社會×1</w:t>
            </w:r>
          </w:p>
        </w:tc>
        <w:tc>
          <w:tcPr>
            <w:tcW w:type="dxa" w:w="900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10%</w:t>
            </w:r>
          </w:p>
        </w:tc>
        <w:tc>
          <w:tcPr>
            <w:tcW w:type="dxa" w:w="2738"/>
            <w:shd w:fill="FBF6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40%／面試 50%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18"/>
                <w:szCs w:val="18"/>
              </w:rPr>
              <w:t xml:space="preserve">臺北　休閒運動管理學系(飛鳶組)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英文均標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17"/>
                <w:szCs w:val="17"/>
              </w:rPr>
              <w:t xml:space="preserve">數學B≥4/15；英文≥8/15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國文×1、英文×2、數學B×2、社會×1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color w:val="2B2B2B"/>
                <w:sz w:val="18"/>
                <w:szCs w:val="18"/>
              </w:rPr>
              <w:t xml:space="preserve">30%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6B5F5A"/>
                <w:sz w:val="17"/>
                <w:szCs w:val="17"/>
              </w:rPr>
              <w:t xml:space="preserve">審查資料 70%</w:t>
            </w:r>
          </w:p>
        </w:tc>
      </w:tr>
    </w:tbl>
    <w:p>
      <w:pPr>
        <w:spacing w:after="16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p>
      <w:pPr>
        <w:pStyle w:val="Heading1"/>
        <w:pBdr>
          <w:bottom w:val="single" w:color="8C2740" w:sz="12" w:space="4"/>
        </w:pBdr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8C2740"/>
          <w:sz w:val="30"/>
          <w:szCs w:val="30"/>
        </w:rPr>
        <w:t xml:space="preserve">七、時程與現在該做的事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10 月 27 日–11 月 10 日　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大學術科考試（體育組）報名，由學校集體辦理。體能是體育班的強項，這一場一定要去。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1 月　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學科能力測驗；同月術科考試在國立體育大學舉行。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3 月　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個人申請報名、一階篩選放榜。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b/>
          <w:bCs/>
          <w:color w:val="8C2740"/>
          <w:sz w:val="20"/>
          <w:szCs w:val="20"/>
        </w:rPr>
        <w:t xml:space="preserve">5 月　</w:t>
      </w: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>第二階段：審查資料與面試。</w:t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tbl>
      <w:tblPr>
        <w:tblW w:type="dxa" w:w="15038"/>
        <w:tblBorders>
          <w:top w:val="none"/>
          <w:left w:val="single" w:color="8C2740" w:sz="18"/>
          <w:bottom w:val="none"/>
          <w:right w:val="none"/>
          <w:insideH w:val="none"/>
          <w:insideV w:val="none"/>
        </w:tblBorders>
      </w:tblPr>
      <w:tblGrid>
        <w:gridCol w:w="15038"/>
      </w:tblGrid>
      <w:tr>
        <w:tc>
          <w:tcPr>
            <w:tcW w:type="dxa" w:w="15038"/>
            <w:shd w:fill="F6E7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6F1F33"/>
                <w:sz w:val="21"/>
                <w:szCs w:val="21"/>
              </w:rPr>
              <w:t xml:space="preserve">給學生的三句話：</w:t>
            </w:r>
          </w:p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1. 國文和英文是主力。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20"/>
                <w:szCs w:val="20"/>
              </w:rPr>
              <w:t xml:space="preserve">每科多 1 級分，可填的校系會多十幾個</w:t>
            </w: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——這是差距最有感的地方。</w:t>
            </w:r>
          </w:p>
          <w:p>
            <w:pPr>
              <w:spacing w:after="6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2. 表格最後一欄「第二階段項目」大多是審查資料加面試，佔總成績五成到十成。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2B2B2B"/>
                <w:sz w:val="20"/>
                <w:szCs w:val="20"/>
              </w:rPr>
              <w:t xml:space="preserve">備審和面試是現在就能開始練的，不必等學測考完。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2B2B2B"/>
                <w:sz w:val="20"/>
                <w:szCs w:val="20"/>
              </w:rPr>
              <w:t xml:space="preserve">3. 術科考試不看比賽成績，只看你當天的體能。</w:t>
            </w:r>
            <w:r>
              <w:rPr>
                <w:rFonts w:ascii="微軟正黑體" w:cs="微軟正黑體" w:eastAsia="微軟正黑體" w:hAnsi="微軟正黑體"/>
                <w:b/>
                <w:bCs/>
                <w:color w:val="8C2740"/>
                <w:sz w:val="20"/>
                <w:szCs w:val="20"/>
              </w:rPr>
              <w:t xml:space="preserve">這是這份名單裡，唯一完全由自己決定的分數。</w:t>
            </w:r>
          </w:p>
        </w:tc>
      </w:tr>
    </w:tbl>
    <w:p>
      <w:pPr>
        <w:spacing w:after="160" w:before="0" w:line="300"/>
      </w:pPr>
      <w:r>
        <w:rPr>
          <w:rFonts w:ascii="微軟正黑體" w:cs="微軟正黑體" w:eastAsia="微軟正黑體" w:hAnsi="微軟正黑體"/>
          <w:color w:val="2B2B2B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微軟正黑體" w:cs="微軟正黑體" w:eastAsia="微軟正黑體" w:hAnsi="微軟正黑體"/>
          <w:color w:val="6B5F5A"/>
          <w:sz w:val="16"/>
          <w:szCs w:val="16"/>
        </w:rPr>
        <w:t xml:space="preserve">資料來源：115 學年度大學個人申請招生簡章校系分則、大學甄選入學委員會 111–115 學年度篩選結果、115 學年度大學術科考試簡章、中等以上學校運動成績優良學生升學輔導辦法。116 學年度簡章公告後數字會調整，選填前請以當年度正式簡章為準。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2026-09-02T12:09:04.352Z</dcterms:created>
  <dcterms:modified xsi:type="dcterms:W3CDTF">2026-09-02T12:09:04.354Z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