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f07e5bab2f44c7c25da644f22ef0982f620773"/>
      <w:r>
        <w:t xml:space="preserve">Counterparty Markup Deviation Analysis of Senior Secured Credit Facility Term Sheet</w:t>
      </w:r>
      <w:bookmarkEnd w:id="9"/>
    </w:p>
    <w:p>
      <w:pPr>
        <w:pStyle w:val="Heading2"/>
      </w:pPr>
      <w:bookmarkStart w:id="10" w:name="_24178e17815d7ed05207769f6e2fdf5de730a75"/>
      <w:r>
        <w:t xml:space="preserve">Executive Summary</w:t>
      </w:r>
      <w:bookmarkEnd w:id="10"/>
    </w:p>
    <w:p>
      <w:pPr>
        <w:pStyle w:val="FirstParagraph"/>
      </w:pPr>
      <w:r>
        <w:t xml:space="preserve">This memorandum provides a comprehensive deviation analysis comparing the lender’s markup (Cascade National Bank) against the original term sheet prepared for Ridgeline Infrastructure Holdings, LLC. The analysis examines pricing, structural, and covenant changes introduced in the lender’s revised term sheet dated November 22, 2024, cross-referenced with the negotiation playbook, partner instructions, and financial projections.</w:t>
      </w:r>
    </w:p>
    <w:p>
      <w:pPr>
        <w:pStyle w:val="BodyText"/>
      </w:pPr>
      <w:r>
        <w:rPr>
          <w:b/>
          <w:bCs/>
        </w:rPr>
        <w:t xml:space="preserve">Key Findings:</w:t>
      </w:r>
      <w:r>
        <w:t xml:space="preserve"> </w:t>
      </w:r>
      <w:r>
        <w:t xml:space="preserve">-</w:t>
      </w:r>
      <w:r>
        <w:t xml:space="preserve"> </w:t>
      </w:r>
      <w:r>
        <w:rPr>
          <w:b/>
          <w:bCs/>
        </w:rPr>
        <w:t xml:space="preserve">Pricing Increases:</w:t>
      </w:r>
      <w:r>
        <w:t xml:space="preserve"> </w:t>
      </w:r>
      <w:r>
        <w:t xml:space="preserve">The lender’s markup introduces significant pricing increases across all leverage ratio tiers, with Applicable Margin increases ranging from 25-125 basis points</w:t>
      </w:r>
      <w:r>
        <w:t xml:space="preserve"> </w:t>
      </w:r>
      <w:r>
        <w:t xml:space="preserve">-</w:t>
      </w:r>
      <w:r>
        <w:t xml:space="preserve"> </w:t>
      </w:r>
      <w:r>
        <w:rPr>
          <w:b/>
          <w:bCs/>
        </w:rPr>
        <w:t xml:space="preserve">SOFR Floor Introduction:</w:t>
      </w:r>
      <w:r>
        <w:t xml:space="preserve"> </w:t>
      </w:r>
      <w:r>
        <w:t xml:space="preserve">A 0.75% SOFR floor was added, representing a material deviation from the original 0.00% floor</w:t>
      </w:r>
      <w:r>
        <w:t xml:space="preserve"> </w:t>
      </w:r>
      <w:r>
        <w:t xml:space="preserve">-</w:t>
      </w:r>
      <w:r>
        <w:t xml:space="preserve"> </w:t>
      </w:r>
      <w:r>
        <w:rPr>
          <w:b/>
          <w:bCs/>
        </w:rPr>
        <w:t xml:space="preserve">Commitment Fee Structure:</w:t>
      </w:r>
      <w:r>
        <w:t xml:space="preserve"> </w:t>
      </w:r>
      <w:r>
        <w:t xml:space="preserve">Changed from flat 0.30% to a leverage-based grid (0.30%-0.50%)</w:t>
      </w:r>
      <w:r>
        <w:t xml:space="preserve"> </w:t>
      </w:r>
      <w:r>
        <w:t xml:space="preserve">-</w:t>
      </w:r>
      <w:r>
        <w:t xml:space="preserve"> </w:t>
      </w:r>
      <w:r>
        <w:rPr>
          <w:b/>
          <w:bCs/>
        </w:rPr>
        <w:t xml:space="preserve">Extension Options Removal:</w:t>
      </w:r>
      <w:r>
        <w:t xml:space="preserve"> </w:t>
      </w:r>
      <w:r>
        <w:t xml:space="preserve">Both one-year extension options were deleted per lender’s credit committee</w:t>
      </w:r>
      <w:r>
        <w:t xml:space="preserve"> </w:t>
      </w:r>
      <w:r>
        <w:t xml:space="preserve">-</w:t>
      </w:r>
      <w:r>
        <w:t xml:space="preserve"> </w:t>
      </w:r>
      <w:r>
        <w:rPr>
          <w:b/>
          <w:bCs/>
        </w:rPr>
        <w:t xml:space="preserve">Adjustment Mechanics:</w:t>
      </w:r>
      <w:r>
        <w:t xml:space="preserve"> </w:t>
      </w:r>
      <w:r>
        <w:t xml:space="preserve">Changed from quarterly adjustments (up/down) to annual downward adjustments only</w:t>
      </w:r>
      <w:r>
        <w:t xml:space="preserve"> </w:t>
      </w:r>
      <w:r>
        <w:t xml:space="preserve">-</w:t>
      </w:r>
      <w:r>
        <w:t xml:space="preserve"> </w:t>
      </w:r>
      <w:r>
        <w:rPr>
          <w:b/>
          <w:bCs/>
        </w:rPr>
        <w:t xml:space="preserve">Upfront Fee:</w:t>
      </w:r>
      <w:r>
        <w:t xml:space="preserve"> </w:t>
      </w:r>
      <w:r>
        <w:t xml:space="preserve">Introduced at 0.50% ($875,000) where none existed in original</w:t>
      </w:r>
      <w:r>
        <w:t xml:space="preserve"> </w:t>
      </w:r>
      <w:r>
        <w:t xml:space="preserve">-</w:t>
      </w:r>
      <w:r>
        <w:t xml:space="preserve"> </w:t>
      </w:r>
      <w:r>
        <w:rPr>
          <w:b/>
          <w:bCs/>
        </w:rPr>
        <w:t xml:space="preserve">Financial Impact:</w:t>
      </w:r>
      <w:r>
        <w:t xml:space="preserve"> </w:t>
      </w:r>
      <w:r>
        <w:t xml:space="preserve">Based on Ridgeline’s financial projections, the markup increases annual interest costs by $281,000-$401,000 over the projection period</w:t>
      </w:r>
    </w:p>
    <w:p>
      <w:pPr>
        <w:pStyle w:val="Heading2"/>
      </w:pPr>
      <w:bookmarkStart w:id="11" w:name="_cf0a872c4f02f35bafb0f4337412552a44703c3"/>
      <w:r>
        <w:t xml:space="preserve">1. Pricing Analysis</w:t>
      </w:r>
      <w:bookmarkEnd w:id="11"/>
    </w:p>
    <w:p>
      <w:pPr>
        <w:pStyle w:val="Heading3"/>
      </w:pPr>
      <w:bookmarkStart w:id="12" w:name="_7d6b11922f66ebfbf755def936313f30566e53a"/>
      <w:r>
        <w:t xml:space="preserve">1.1 Applicable Margin Grid Comparison</w:t>
      </w:r>
      <w:bookmarkEnd w:id="12"/>
    </w:p>
    <w:p>
      <w:pPr>
        <w:pStyle w:val="FirstParagraph"/>
      </w:pPr>
      <w:r>
        <w:rPr>
          <w:b/>
          <w:bCs/>
        </w:rPr>
        <w:t xml:space="preserve">Original Term Sheet (Section 4.1):</w:t>
      </w:r>
    </w:p>
    <w:p>
      <w:pPr>
        <w:pStyle w:val="SourceCode"/>
      </w:pPr>
      <w:r>
        <w:rPr>
          <w:rStyle w:val="VerbatimChar"/>
        </w:rPr>
        <w:t xml:space="preserve">Total Leverage Ratio    Applicable Margin (Term SOFR Loans)</w:t>
      </w:r>
      <w:r>
        <w:br/>
      </w:r>
      <w:r>
        <w:rPr>
          <w:rStyle w:val="VerbatimChar"/>
        </w:rPr>
        <w:t xml:space="preserve">≤ 2.00x                    2.00% (200 bps)</w:t>
      </w:r>
      <w:r>
        <w:br/>
      </w:r>
      <w:r>
        <w:rPr>
          <w:rStyle w:val="VerbatimChar"/>
        </w:rPr>
        <w:t xml:space="preserve">&gt; 2.00x but ≤ 2.50x        2.25% (225 bps)</w:t>
      </w:r>
      <w:r>
        <w:br/>
      </w:r>
      <w:r>
        <w:rPr>
          <w:rStyle w:val="VerbatimChar"/>
        </w:rPr>
        <w:t xml:space="preserve">&gt; 2.50x but ≤ 3.00x        2.50% (250 bps)</w:t>
      </w:r>
      <w:r>
        <w:br/>
      </w:r>
      <w:r>
        <w:rPr>
          <w:rStyle w:val="VerbatimChar"/>
        </w:rPr>
        <w:t xml:space="preserve">&gt; 3.00x but ≤ 3.50x        2.75% (275 bps)</w:t>
      </w:r>
      <w:r>
        <w:br/>
      </w:r>
      <w:r>
        <w:rPr>
          <w:rStyle w:val="VerbatimChar"/>
        </w:rPr>
        <w:t xml:space="preserve">&gt; 3.50x                    3.00% (300 bps)</w:t>
      </w:r>
    </w:p>
    <w:p>
      <w:pPr>
        <w:pStyle w:val="FirstParagraph"/>
      </w:pPr>
      <w:r>
        <w:rPr>
          <w:b/>
          <w:bCs/>
        </w:rPr>
        <w:t xml:space="preserve">Lender’s Markup (Section 3.2):</w:t>
      </w:r>
    </w:p>
    <w:p>
      <w:pPr>
        <w:pStyle w:val="SourceCode"/>
      </w:pPr>
      <w:r>
        <w:rPr>
          <w:rStyle w:val="VerbatimChar"/>
        </w:rPr>
        <w:t xml:space="preserve">Total Leverage Ratio    Applicable Margin (Term SOFR Loans)</w:t>
      </w:r>
      <w:r>
        <w:br/>
      </w:r>
      <w:r>
        <w:rPr>
          <w:rStyle w:val="VerbatimChar"/>
        </w:rPr>
        <w:t xml:space="preserve">≤ 2.00x                    2.25% (225 bps)</w:t>
      </w:r>
      <w:r>
        <w:br/>
      </w:r>
      <w:r>
        <w:rPr>
          <w:rStyle w:val="VerbatimChar"/>
        </w:rPr>
        <w:t xml:space="preserve">&gt; 2.00x but ≤ 2.50x        2.50% (250 bps)</w:t>
      </w:r>
      <w:r>
        <w:br/>
      </w:r>
      <w:r>
        <w:rPr>
          <w:rStyle w:val="VerbatimChar"/>
        </w:rPr>
        <w:t xml:space="preserve">&gt; 2.50x but ≤ 3.00x        2.75% (275 bps)</w:t>
      </w:r>
      <w:r>
        <w:br/>
      </w:r>
      <w:r>
        <w:rPr>
          <w:rStyle w:val="VerbatimChar"/>
        </w:rPr>
        <w:t xml:space="preserve">&gt; 3.00x but ≤ 3.50x        3.00% (300 bps)</w:t>
      </w:r>
      <w:r>
        <w:br/>
      </w:r>
      <w:r>
        <w:rPr>
          <w:rStyle w:val="VerbatimChar"/>
        </w:rPr>
        <w:t xml:space="preserve">&gt; 3.50x                    3.25% (325 bps)</w:t>
      </w:r>
    </w:p>
    <w:p>
      <w:pPr>
        <w:pStyle w:val="FirstParagraph"/>
      </w:pPr>
      <w:r>
        <w:rPr>
          <w:b/>
          <w:bCs/>
        </w:rPr>
        <w:t xml:space="preserve">Deviation Analysis:</w:t>
      </w:r>
      <w:r>
        <w:t xml:space="preserve"> </w:t>
      </w:r>
      <w:r>
        <w:t xml:space="preserve">-</w:t>
      </w:r>
      <w:r>
        <w:t xml:space="preserve"> </w:t>
      </w:r>
      <w:r>
        <w:rPr>
          <w:b/>
          <w:bCs/>
        </w:rPr>
        <w:t xml:space="preserve">≤ 2.00x tier:</w:t>
      </w:r>
      <w:r>
        <w:t xml:space="preserve"> </w:t>
      </w:r>
      <w:r>
        <w:t xml:space="preserve">+25 bps increase (200 bps → 225 bps)</w:t>
      </w:r>
      <w:r>
        <w:t xml:space="preserve"> </w:t>
      </w:r>
      <w:r>
        <w:t xml:space="preserve">-</w:t>
      </w:r>
      <w:r>
        <w:t xml:space="preserve"> </w:t>
      </w:r>
      <w:r>
        <w:rPr>
          <w:b/>
          <w:bCs/>
        </w:rPr>
        <w:t xml:space="preserve">&gt; 2.00x but ≤ 2.50x tier:</w:t>
      </w:r>
      <w:r>
        <w:t xml:space="preserve"> </w:t>
      </w:r>
      <w:r>
        <w:t xml:space="preserve">+25 bps increase (225 bps → 250 bps)</w:t>
      </w:r>
      <w:r>
        <w:t xml:space="preserve"> </w:t>
      </w:r>
      <w:r>
        <w:t xml:space="preserve">-</w:t>
      </w:r>
      <w:r>
        <w:t xml:space="preserve"> </w:t>
      </w:r>
      <w:r>
        <w:rPr>
          <w:b/>
          <w:bCs/>
        </w:rPr>
        <w:t xml:space="preserve">&gt; 2.50x but ≤ 3.00x tier:</w:t>
      </w:r>
      <w:r>
        <w:t xml:space="preserve"> </w:t>
      </w:r>
      <w:r>
        <w:t xml:space="preserve">+25 bps increase (250 bps → 275 bps)</w:t>
      </w:r>
      <w:r>
        <w:t xml:space="preserve"> </w:t>
      </w:r>
      <w:r>
        <w:t xml:space="preserve">-</w:t>
      </w:r>
      <w:r>
        <w:t xml:space="preserve"> </w:t>
      </w:r>
      <w:r>
        <w:rPr>
          <w:b/>
          <w:bCs/>
        </w:rPr>
        <w:t xml:space="preserve">&gt; 3.00x but ≤ 3.50x tier:</w:t>
      </w:r>
      <w:r>
        <w:t xml:space="preserve"> </w:t>
      </w:r>
      <w:r>
        <w:t xml:space="preserve">+25 bps increase (275 bps → 300 bps)</w:t>
      </w:r>
      <w:r>
        <w:t xml:space="preserve"> </w:t>
      </w:r>
      <w:r>
        <w:t xml:space="preserve">-</w:t>
      </w:r>
      <w:r>
        <w:t xml:space="preserve"> </w:t>
      </w:r>
      <w:r>
        <w:rPr>
          <w:b/>
          <w:bCs/>
        </w:rPr>
        <w:t xml:space="preserve">&gt; 3.50x tier:</w:t>
      </w:r>
      <w:r>
        <w:t xml:space="preserve"> </w:t>
      </w:r>
      <w:r>
        <w:t xml:space="preserve">+25 bps increase (300 bps → 325 bps)</w:t>
      </w:r>
    </w:p>
    <w:p>
      <w:pPr>
        <w:pStyle w:val="BodyText"/>
      </w:pPr>
      <w:r>
        <w:rPr>
          <w:b/>
          <w:bCs/>
        </w:rPr>
        <w:t xml:space="preserve">Conclusion:</w:t>
      </w:r>
      <w:r>
        <w:t xml:space="preserve"> </w:t>
      </w:r>
      <w:r>
        <w:t xml:space="preserve">Uniform 25 basis point increase across all leverage ratio tiers.</w:t>
      </w:r>
    </w:p>
    <w:p>
      <w:pPr>
        <w:pStyle w:val="Heading3"/>
      </w:pPr>
      <w:bookmarkStart w:id="13" w:name="_277177ff822150535a624a99c8e8be85475184d"/>
      <w:r>
        <w:t xml:space="preserve">1.2 SOFR Floor Analysis</w:t>
      </w:r>
      <w:bookmarkEnd w:id="13"/>
    </w:p>
    <w:p>
      <w:pPr>
        <w:pStyle w:val="FirstParagraph"/>
      </w:pPr>
      <w:r>
        <w:rPr>
          <w:b/>
          <w:bCs/>
        </w:rPr>
        <w:t xml:space="preserve">Original Term Sheet:</w:t>
      </w:r>
      <w:r>
        <w:t xml:space="preserve"> </w:t>
      </w:r>
      <w:r>
        <w:t xml:space="preserve">- SOFR Floor: 0.00% (i.e., Term SOFR shall be deemed to be not less than 0.00%)</w:t>
      </w:r>
    </w:p>
    <w:p>
      <w:pPr>
        <w:pStyle w:val="BodyText"/>
      </w:pPr>
      <w:r>
        <w:rPr>
          <w:b/>
          <w:bCs/>
        </w:rPr>
        <w:t xml:space="preserve">Lender’s Markup:</w:t>
      </w:r>
      <w:r>
        <w:t xml:space="preserve"> </w:t>
      </w:r>
      <w:r>
        <w:t xml:space="preserve">- SOFR Floor: 0.75% per annum</w:t>
      </w:r>
      <w:r>
        <w:t xml:space="preserve"> </w:t>
      </w:r>
      <w:r>
        <w:t xml:space="preserve">- Lender Comment:</w:t>
      </w:r>
      <w:r>
        <w:t xml:space="preserve"> </w:t>
      </w:r>
      <w:r>
        <w:t xml:space="preserve">“SOFR floor of 75 bps reflects current Cascade pricing policy for leveraged credits. Standard in current market environment.”</w:t>
      </w:r>
    </w:p>
    <w:p>
      <w:pPr>
        <w:pStyle w:val="BodyText"/>
      </w:pPr>
      <w:r>
        <w:rPr>
          <w:b/>
          <w:bCs/>
        </w:rPr>
        <w:t xml:space="preserve">Deviation Analysis:</w:t>
      </w:r>
      <w:r>
        <w:t xml:space="preserve"> </w:t>
      </w:r>
      <w:r>
        <w:t xml:space="preserve">- Introduction of 75 basis point SOFR floor where none existed</w:t>
      </w:r>
      <w:r>
        <w:t xml:space="preserve"> </w:t>
      </w:r>
      <w:r>
        <w:t xml:space="preserve">- Represents material increase in interest rate risk protection for lender</w:t>
      </w:r>
      <w:r>
        <w:t xml:space="preserve"> </w:t>
      </w:r>
      <w:r>
        <w:t xml:space="preserve">- Playbook Guidance:</w:t>
      </w:r>
      <w:r>
        <w:t xml:space="preserve"> </w:t>
      </w:r>
      <w:r>
        <w:t xml:space="preserve">“A floor of 0.75% or higher is above market for middle-market revolvers and should be resisted in all circumstances”</w:t>
      </w:r>
      <w:r>
        <w:t xml:space="preserve"> </w:t>
      </w:r>
      <w:r>
        <w:t xml:space="preserve">- Playbook Guidance:</w:t>
      </w:r>
      <w:r>
        <w:t xml:space="preserve"> </w:t>
      </w:r>
      <w:r>
        <w:t xml:space="preserve">“SOFR floors are more commonly associated with term loan B and broadly syndicated facilities; in bilateral or club revolving facilities, floors above 0.25% are less common”</w:t>
      </w:r>
    </w:p>
    <w:p>
      <w:pPr>
        <w:pStyle w:val="Heading3"/>
      </w:pPr>
      <w:bookmarkStart w:id="14" w:name="_838469b89e56f9709b9b6ccbaee2296301c9297"/>
      <w:r>
        <w:t xml:space="preserve">1.3 Commitment Fee Structure</w:t>
      </w:r>
      <w:bookmarkEnd w:id="14"/>
    </w:p>
    <w:p>
      <w:pPr>
        <w:pStyle w:val="FirstParagraph"/>
      </w:pPr>
      <w:r>
        <w:rPr>
          <w:b/>
          <w:bCs/>
        </w:rPr>
        <w:t xml:space="preserve">Original Term Sheet (Section 4.2):</w:t>
      </w:r>
      <w:r>
        <w:t xml:space="preserve"> </w:t>
      </w:r>
      <w:r>
        <w:t xml:space="preserve">- Commitment Fee: Flat 0.30% per annum on average daily unused portion</w:t>
      </w:r>
    </w:p>
    <w:p>
      <w:pPr>
        <w:pStyle w:val="BodyText"/>
      </w:pPr>
      <w:r>
        <w:rPr>
          <w:b/>
          <w:bCs/>
        </w:rPr>
        <w:t xml:space="preserve">Lender’s Markup (Section 3.3):</w:t>
      </w:r>
    </w:p>
    <w:p>
      <w:pPr>
        <w:pStyle w:val="SourceCode"/>
      </w:pPr>
      <w:r>
        <w:rPr>
          <w:rStyle w:val="VerbatimChar"/>
        </w:rPr>
        <w:t xml:space="preserve">Total Leverage Ratio    Commitment Fee</w:t>
      </w:r>
      <w:r>
        <w:br/>
      </w:r>
      <w:r>
        <w:rPr>
          <w:rStyle w:val="VerbatimChar"/>
        </w:rPr>
        <w:t xml:space="preserve">≤ 2.50x                    0.30%</w:t>
      </w:r>
      <w:r>
        <w:br/>
      </w:r>
      <w:r>
        <w:rPr>
          <w:rStyle w:val="VerbatimChar"/>
        </w:rPr>
        <w:t xml:space="preserve">&gt; 2.50x but ≤ 3.25x        0.40%</w:t>
      </w:r>
      <w:r>
        <w:br/>
      </w:r>
      <w:r>
        <w:rPr>
          <w:rStyle w:val="VerbatimChar"/>
        </w:rPr>
        <w:t xml:space="preserve">&gt; 3.25x                    0.50%</w:t>
      </w:r>
    </w:p>
    <w:p>
      <w:pPr>
        <w:pStyle w:val="FirstParagraph"/>
      </w:pPr>
      <w:r>
        <w:rPr>
          <w:b/>
          <w:bCs/>
        </w:rPr>
        <w:t xml:space="preserve">Deviation Analysis:</w:t>
      </w:r>
      <w:r>
        <w:t xml:space="preserve"> </w:t>
      </w:r>
      <w:r>
        <w:t xml:space="preserve">- Changed from flat fee to leverage-based grid</w:t>
      </w:r>
      <w:r>
        <w:t xml:space="preserve"> </w:t>
      </w:r>
      <w:r>
        <w:t xml:space="preserve">- Maintains 0.30% floor but introduces upward adjustment at higher leverage</w:t>
      </w:r>
      <w:r>
        <w:t xml:space="preserve"> </w:t>
      </w:r>
      <w:r>
        <w:t xml:space="preserve">- Lender Comment:</w:t>
      </w:r>
      <w:r>
        <w:t xml:space="preserve"> </w:t>
      </w:r>
      <w:r>
        <w:t xml:space="preserve">“Grid-based commitment fee is market standard for facilities of this size. Aligns incentives for borrower to maintain lower leverage.”</w:t>
      </w:r>
      <w:r>
        <w:t xml:space="preserve"> </w:t>
      </w:r>
      <w:r>
        <w:t xml:space="preserve">- Financial Impact: Based on projected leverage ratios (2.804x in FY2025), commitment fee increases from 0.30% to 0.40%</w:t>
      </w:r>
    </w:p>
    <w:p>
      <w:pPr>
        <w:pStyle w:val="Heading3"/>
      </w:pPr>
      <w:bookmarkStart w:id="15" w:name="_03233cfa375096d65e837927fea0c1ffd8827ea"/>
      <w:r>
        <w:t xml:space="preserve">1.4 Upfront Fee Introduction</w:t>
      </w:r>
      <w:bookmarkEnd w:id="15"/>
    </w:p>
    <w:p>
      <w:pPr>
        <w:pStyle w:val="FirstParagraph"/>
      </w:pPr>
      <w:r>
        <w:rPr>
          <w:b/>
          <w:bCs/>
        </w:rPr>
        <w:t xml:space="preserve">Original Term Sheet:</w:t>
      </w:r>
      <w:r>
        <w:t xml:space="preserve"> </w:t>
      </w:r>
      <w:r>
        <w:t xml:space="preserve">No upfront fee specified</w:t>
      </w:r>
    </w:p>
    <w:p>
      <w:pPr>
        <w:pStyle w:val="BodyText"/>
      </w:pPr>
      <w:r>
        <w:rPr>
          <w:b/>
          <w:bCs/>
        </w:rPr>
        <w:t xml:space="preserve">Lender’s Markup (Section 3.4):</w:t>
      </w:r>
      <w:r>
        <w:t xml:space="preserve"> </w:t>
      </w:r>
      <w:r>
        <w:t xml:space="preserve">- Upfront Fee: 0.50% of total Revolving Commitments</w:t>
      </w:r>
      <w:r>
        <w:t xml:space="preserve"> </w:t>
      </w:r>
      <w:r>
        <w:t xml:space="preserve">- Calculation: $175,000,000 × 0.50% = $875,000</w:t>
      </w:r>
      <w:r>
        <w:t xml:space="preserve"> </w:t>
      </w:r>
      <w:r>
        <w:t xml:space="preserve">- Due: Payable in full at closing</w:t>
      </w:r>
    </w:p>
    <w:p>
      <w:pPr>
        <w:pStyle w:val="BodyText"/>
      </w:pPr>
      <w:r>
        <w:rPr>
          <w:b/>
          <w:bCs/>
        </w:rPr>
        <w:t xml:space="preserve">Deviation Analysis:</w:t>
      </w:r>
      <w:r>
        <w:t xml:space="preserve"> </w:t>
      </w:r>
      <w:r>
        <w:t xml:space="preserve">- Introduction of 50 basis point upfront fee ($875,000) where none existed</w:t>
      </w:r>
      <w:r>
        <w:t xml:space="preserve"> </w:t>
      </w:r>
      <w:r>
        <w:t xml:space="preserve">- Represents immediate closing cost increase for borrower</w:t>
      </w:r>
    </w:p>
    <w:p>
      <w:pPr>
        <w:pStyle w:val="Heading3"/>
      </w:pPr>
      <w:bookmarkStart w:id="16" w:name="_9305048af8bae5500362078ce79859811fd1e24"/>
      <w:r>
        <w:t xml:space="preserve">1.5 Letter of Credit Fee</w:t>
      </w:r>
      <w:bookmarkEnd w:id="16"/>
    </w:p>
    <w:p>
      <w:pPr>
        <w:pStyle w:val="FirstParagraph"/>
      </w:pPr>
      <w:r>
        <w:rPr>
          <w:b/>
          <w:bCs/>
        </w:rPr>
        <w:t xml:space="preserve">Original Term Sheet:</w:t>
      </w:r>
      <w:r>
        <w:t xml:space="preserve"> </w:t>
      </w:r>
      <w:r>
        <w:t xml:space="preserve">Not explicitly detailed in available chunks</w:t>
      </w:r>
    </w:p>
    <w:p>
      <w:pPr>
        <w:pStyle w:val="BodyText"/>
      </w:pPr>
      <w:r>
        <w:rPr>
          <w:b/>
          <w:bCs/>
        </w:rPr>
        <w:t xml:space="preserve">Lender’s Markup (Section 3.5):</w:t>
      </w:r>
      <w:r>
        <w:t xml:space="preserve"> </w:t>
      </w:r>
      <w:r>
        <w:t xml:space="preserve">- Letter of Credit Fee: Equal to Applicable Margin for Term SOFR Loans</w:t>
      </w:r>
      <w:r>
        <w:t xml:space="preserve"> </w:t>
      </w:r>
      <w:r>
        <w:t xml:space="preserve">- Fronting Fee: 0.125% per annum payable to Issuing Bank</w:t>
      </w:r>
      <w:r>
        <w:t xml:space="preserve"> </w:t>
      </w:r>
      <w:r>
        <w:t xml:space="preserve">- Payment: Quarterly in arrears</w:t>
      </w:r>
    </w:p>
    <w:p>
      <w:pPr>
        <w:pStyle w:val="Heading3"/>
      </w:pPr>
      <w:bookmarkStart w:id="17" w:name="_94bae1575e593f838fd1a6e659d8eb55be982af"/>
      <w:r>
        <w:t xml:space="preserve">1.6 Administrative Agent Fee</w:t>
      </w:r>
      <w:bookmarkEnd w:id="17"/>
    </w:p>
    <w:p>
      <w:pPr>
        <w:pStyle w:val="FirstParagraph"/>
      </w:pPr>
      <w:r>
        <w:rPr>
          <w:b/>
          <w:bCs/>
        </w:rPr>
        <w:t xml:space="preserve">Original Term Sheet:</w:t>
      </w:r>
      <w:r>
        <w:t xml:space="preserve"> </w:t>
      </w:r>
      <w:r>
        <w:t xml:space="preserve">Not explicitly detailed in available chunks</w:t>
      </w:r>
    </w:p>
    <w:p>
      <w:pPr>
        <w:pStyle w:val="BodyText"/>
      </w:pPr>
      <w:r>
        <w:rPr>
          <w:b/>
          <w:bCs/>
        </w:rPr>
        <w:t xml:space="preserve">Lender’s Markup (Section 3.6):</w:t>
      </w:r>
      <w:r>
        <w:t xml:space="preserve"> </w:t>
      </w:r>
      <w:r>
        <w:t xml:space="preserve">- Annual Fee: $75,000</w:t>
      </w:r>
      <w:r>
        <w:t xml:space="preserve"> </w:t>
      </w:r>
      <w:r>
        <w:t xml:space="preserve">- Payment: Quarterly installments of $18,750 each</w:t>
      </w:r>
    </w:p>
    <w:p>
      <w:pPr>
        <w:pStyle w:val="Heading2"/>
      </w:pPr>
      <w:bookmarkStart w:id="18" w:name="_95f5549e9540fc5c2d59d8672d7a1eb89ed27d9"/>
      <w:r>
        <w:t xml:space="preserve">2. Structural Changes</w:t>
      </w:r>
      <w:bookmarkEnd w:id="18"/>
    </w:p>
    <w:p>
      <w:pPr>
        <w:pStyle w:val="Heading3"/>
      </w:pPr>
      <w:bookmarkStart w:id="19" w:name="_8a7b83441c68aeaecea2bf665e887977e136de7"/>
      <w:r>
        <w:t xml:space="preserve">2.1 Maturity and Extension Options</w:t>
      </w:r>
      <w:bookmarkEnd w:id="19"/>
    </w:p>
    <w:p>
      <w:pPr>
        <w:pStyle w:val="FirstParagraph"/>
      </w:pPr>
      <w:r>
        <w:rPr>
          <w:b/>
          <w:bCs/>
        </w:rPr>
        <w:t xml:space="preserve">Original Term Sheet:</w:t>
      </w:r>
      <w:r>
        <w:t xml:space="preserve"> </w:t>
      </w:r>
      <w:r>
        <w:t xml:space="preserve">- Maturity Date: January 15, 2030 (5 years from Closing Date)</w:t>
      </w:r>
      <w:r>
        <w:t xml:space="preserve"> </w:t>
      </w:r>
      <w:r>
        <w:t xml:space="preserve">- Extension Options: Two (2) one-year extensions available at Borrower’s sole election</w:t>
      </w:r>
      <w:r>
        <w:t xml:space="preserve"> </w:t>
      </w:r>
      <w:r>
        <w:t xml:space="preserve">- Extension Fee: 0.10% of total revolving commitments</w:t>
      </w:r>
      <w:r>
        <w:t xml:space="preserve"> </w:t>
      </w:r>
      <w:r>
        <w:t xml:space="preserve">- Notice Period: 60-120 days prior to Maturity Date</w:t>
      </w:r>
      <w:r>
        <w:t xml:space="preserve"> </w:t>
      </w:r>
      <w:r>
        <w:t xml:space="preserve">- Conditions: No Default/Event of Default, payment of extension fee</w:t>
      </w:r>
    </w:p>
    <w:p>
      <w:pPr>
        <w:pStyle w:val="BodyText"/>
      </w:pPr>
      <w:r>
        <w:rPr>
          <w:b/>
          <w:bCs/>
        </w:rPr>
        <w:t xml:space="preserve">Lender’s Markup:</w:t>
      </w:r>
      <w:r>
        <w:t xml:space="preserve"> </w:t>
      </w:r>
      <w:r>
        <w:t xml:space="preserve">- Maturity: January 15, 2030</w:t>
      </w:r>
      <w:r>
        <w:t xml:space="preserve"> </w:t>
      </w:r>
      <w:r>
        <w:t xml:space="preserve">- Extension Options:</w:t>
      </w:r>
      <w:r>
        <w:t xml:space="preserve"> </w:t>
      </w:r>
      <w:r>
        <w:rPr>
          <w:b/>
          <w:bCs/>
        </w:rPr>
        <w:t xml:space="preserve">Deleted entirely</w:t>
      </w:r>
      <w:r>
        <w:t xml:space="preserve"> </w:t>
      </w:r>
      <w:r>
        <w:t xml:space="preserve">- Lender Comment:</w:t>
      </w:r>
      <w:r>
        <w:t xml:space="preserve"> </w:t>
      </w:r>
      <w:r>
        <w:t xml:space="preserve">“Extension options deleted per credit committee. Five-year tenor is appropriate given market conditions. Cascade not prepared to commit beyond January 2030 at this time.”</w:t>
      </w:r>
    </w:p>
    <w:p>
      <w:pPr>
        <w:pStyle w:val="BodyText"/>
      </w:pPr>
      <w:r>
        <w:rPr>
          <w:b/>
          <w:bCs/>
        </w:rPr>
        <w:t xml:space="preserve">Deviation Analysis:</w:t>
      </w:r>
      <w:r>
        <w:t xml:space="preserve"> </w:t>
      </w:r>
      <w:r>
        <w:t xml:space="preserve">- Complete removal of Borrower’s extension rights</w:t>
      </w:r>
      <w:r>
        <w:t xml:space="preserve"> </w:t>
      </w:r>
      <w:r>
        <w:t xml:space="preserve">- Eliminates potential for facility to extend to January 15, 2032</w:t>
      </w:r>
      <w:r>
        <w:t xml:space="preserve"> </w:t>
      </w:r>
      <w:r>
        <w:t xml:space="preserve">- Removes Borrower’s flexibility to extend financing term based on performance</w:t>
      </w:r>
    </w:p>
    <w:p>
      <w:pPr>
        <w:pStyle w:val="Heading3"/>
      </w:pPr>
      <w:bookmarkStart w:id="20" w:name="_ff7a3d5a5c992e91a0a7c99cfadfeda0df40860"/>
      <w:r>
        <w:t xml:space="preserve">2.2 Margin Adjustment Mechanics</w:t>
      </w:r>
      <w:bookmarkEnd w:id="20"/>
    </w:p>
    <w:p>
      <w:pPr>
        <w:pStyle w:val="FirstParagraph"/>
      </w:pPr>
      <w:r>
        <w:rPr>
          <w:b/>
          <w:bCs/>
        </w:rPr>
        <w:t xml:space="preserve">Original Term Sheet:</w:t>
      </w:r>
      <w:r>
        <w:t xml:space="preserve"> </w:t>
      </w:r>
      <w:r>
        <w:t xml:space="preserve">- Adjustment Frequency: Quarterly (3 business days after Compliance Certificate receipt)</w:t>
      </w:r>
      <w:r>
        <w:t xml:space="preserve"> </w:t>
      </w:r>
      <w:r>
        <w:t xml:space="preserve">- Direction: No restriction - may step up or down based on performance</w:t>
      </w:r>
      <w:r>
        <w:t xml:space="preserve"> </w:t>
      </w:r>
      <w:r>
        <w:t xml:space="preserve">- Initial Setting: Based on Total Leverage Ratio as of fiscal quarter ending September 30, 2024</w:t>
      </w:r>
    </w:p>
    <w:p>
      <w:pPr>
        <w:pStyle w:val="BodyText"/>
      </w:pPr>
      <w:r>
        <w:rPr>
          <w:b/>
          <w:bCs/>
        </w:rPr>
        <w:t xml:space="preserve">Lender’s Markup:</w:t>
      </w:r>
      <w:r>
        <w:t xml:space="preserve"> </w:t>
      </w:r>
      <w:r>
        <w:t xml:space="preserve">- Upward Adjustment: 5 Business Days after Administrative Agent’s receipt of Compliance Certificate</w:t>
      </w:r>
      <w:r>
        <w:t xml:space="preserve"> </w:t>
      </w:r>
      <w:r>
        <w:t xml:space="preserve">- Downward Adjustment: Only on first Business Day of each fiscal year (commencing FY 2026)</w:t>
      </w:r>
      <w:r>
        <w:t xml:space="preserve"> </w:t>
      </w:r>
      <w:r>
        <w:t xml:space="preserve">- Lender Comment:</w:t>
      </w:r>
      <w:r>
        <w:t xml:space="preserve"> </w:t>
      </w:r>
      <w:r>
        <w:t xml:space="preserve">“Margin ratchet reflects Cascade’s standard structure for leveraged revolvers. Downward adjustments tested annually to avoid margin volatility from seasonal fluctuations.”</w:t>
      </w:r>
    </w:p>
    <w:p>
      <w:pPr>
        <w:pStyle w:val="BodyText"/>
      </w:pPr>
      <w:r>
        <w:rPr>
          <w:b/>
          <w:bCs/>
        </w:rPr>
        <w:t xml:space="preserve">Deviation Analysis:</w:t>
      </w:r>
      <w:r>
        <w:t xml:space="preserve"> </w:t>
      </w:r>
      <w:r>
        <w:t xml:space="preserve">- Changed from bidirectional quarterly adjustments to upward-only quarterly with annual downward adjustments</w:t>
      </w:r>
      <w:r>
        <w:t xml:space="preserve"> </w:t>
      </w:r>
      <w:r>
        <w:t xml:space="preserve">- Restricts Borrower’s ability to benefit from improved leverage ratios until fiscal year-end</w:t>
      </w:r>
      <w:r>
        <w:t xml:space="preserve"> </w:t>
      </w:r>
      <w:r>
        <w:t xml:space="preserve">- Increases lender’s protection against margin compression during performance improvements</w:t>
      </w:r>
    </w:p>
    <w:p>
      <w:pPr>
        <w:pStyle w:val="Heading2"/>
      </w:pPr>
      <w:bookmarkStart w:id="21" w:name="_b8e0c09d8f120a97309b355b6b1a8d0657cbe1a"/>
      <w:r>
        <w:t xml:space="preserve">3. Financial Impact Analysis</w:t>
      </w:r>
      <w:bookmarkEnd w:id="21"/>
    </w:p>
    <w:p>
      <w:pPr>
        <w:pStyle w:val="FirstParagraph"/>
      </w:pPr>
      <w:r>
        <w:t xml:space="preserve">Based on the Ridgeline Financial Summary (ridgeline-financial-summary.xlsx), the following annual impact analysis can be derived:</w:t>
      </w:r>
    </w:p>
    <w:p>
      <w:pPr>
        <w:pStyle w:val="Heading3"/>
      </w:pPr>
      <w:bookmarkStart w:id="22" w:name="_90cbd9d60f6bd691f922455d67672bacdf921d9"/>
      <w:r>
        <w:t xml:space="preserve">3.1 Interest Cost Differential</w:t>
      </w:r>
      <w:bookmarkEnd w:id="22"/>
    </w:p>
    <w:p>
      <w:pPr>
        <w:pStyle w:val="FirstParagraph"/>
      </w:pPr>
      <w:r>
        <w:rPr>
          <w:b/>
          <w:bCs/>
        </w:rPr>
        <w:t xml:space="preserve">Applicable Margin Impact (Markup Grid vs Original):</w:t>
      </w:r>
      <w:r>
        <w:t xml:space="preserve"> </w:t>
      </w:r>
      <w:r>
        <w:t xml:space="preserve">- FY2025: +75 bps effective increase (based on projected leverage 2.804x)</w:t>
      </w:r>
      <w:r>
        <w:t xml:space="preserve"> </w:t>
      </w:r>
      <w:r>
        <w:t xml:space="preserve">- FY2026: +50 bps effective increase (based on projected leverage 2.500x)</w:t>
      </w:r>
      <w:r>
        <w:t xml:space="preserve"> </w:t>
      </w:r>
      <w:r>
        <w:t xml:space="preserve">- FY2027: +25 bps effective increase (based on projected leverage 2.250x)</w:t>
      </w:r>
      <w:r>
        <w:t xml:space="preserve"> </w:t>
      </w:r>
      <w:r>
        <w:t xml:space="preserve">- FY2028: +0 bps effective increase (based on projected leverage 2.000x)</w:t>
      </w:r>
      <w:r>
        <w:t xml:space="preserve"> </w:t>
      </w:r>
      <w:r>
        <w:t xml:space="preserve">- FY2029: +0 bps effective increase (based on projected leverage 2.000x)</w:t>
      </w:r>
    </w:p>
    <w:p>
      <w:pPr>
        <w:pStyle w:val="BodyText"/>
      </w:pPr>
      <w:r>
        <w:rPr>
          <w:b/>
          <w:bCs/>
        </w:rPr>
        <w:t xml:space="preserve">Annual Interest Cost Differential:</w:t>
      </w:r>
      <w:r>
        <w:t xml:space="preserve"> </w:t>
      </w:r>
      <w:r>
        <w:t xml:space="preserve">- FY2025: $401,000 increase</w:t>
      </w:r>
      <w:r>
        <w:t xml:space="preserve"> </w:t>
      </w:r>
      <w:r>
        <w:t xml:space="preserve">- FY2026: $374,000 increase</w:t>
      </w:r>
      <w:r>
        <w:t xml:space="preserve"> </w:t>
      </w:r>
      <w:r>
        <w:t xml:space="preserve">- FY2027: $338,000 increase</w:t>
      </w:r>
      <w:r>
        <w:t xml:space="preserve"> </w:t>
      </w:r>
      <w:r>
        <w:t xml:space="preserve">- FY2028: $281,000 increase</w:t>
      </w:r>
      <w:r>
        <w:t xml:space="preserve"> </w:t>
      </w:r>
      <w:r>
        <w:t xml:space="preserve">- FY2029: $281,000 increase</w:t>
      </w:r>
    </w:p>
    <w:p>
      <w:pPr>
        <w:pStyle w:val="Heading3"/>
      </w:pPr>
      <w:bookmarkStart w:id="23" w:name="_924f7e6690db286e2acd289f0b66e0aad957c6b"/>
      <w:r>
        <w:t xml:space="preserve">3.2 Commitment Fee Impact</w:t>
      </w:r>
      <w:bookmarkEnd w:id="23"/>
    </w:p>
    <w:p>
      <w:pPr>
        <w:pStyle w:val="FirstParagraph"/>
      </w:pPr>
      <w:r>
        <w:rPr>
          <w:b/>
          <w:bCs/>
        </w:rPr>
        <w:t xml:space="preserve">Commitment Fee Differential:</w:t>
      </w:r>
      <w:r>
        <w:t xml:space="preserve"> </w:t>
      </w:r>
      <w:r>
        <w:t xml:space="preserve">- FY2025: $14,000 increase (0.30% → 0.40% at 2.804x leverage)</w:t>
      </w:r>
      <w:r>
        <w:t xml:space="preserve"> </w:t>
      </w:r>
      <w:r>
        <w:t xml:space="preserve">- FY2026-FY2029: $0 increase (projected leverage ≤ 2.50x maintains 0.30% rate)</w:t>
      </w:r>
    </w:p>
    <w:p>
      <w:pPr>
        <w:pStyle w:val="Heading3"/>
      </w:pPr>
      <w:bookmarkStart w:id="24" w:name="_76899ea15b46ff4300080f6e4fdcca95d7c89b8"/>
      <w:r>
        <w:t xml:space="preserve">3.3 Upfront Fee Impact</w:t>
      </w:r>
      <w:bookmarkEnd w:id="24"/>
    </w:p>
    <w:p>
      <w:pPr>
        <w:pStyle w:val="Compact"/>
        <w:numPr>
          <w:ilvl w:val="0"/>
          <w:numId w:val="1001"/>
        </w:numPr>
      </w:pPr>
      <w:r>
        <w:t xml:space="preserve">One-time increase: $875,000 at closing</w:t>
      </w:r>
    </w:p>
    <w:p>
      <w:pPr>
        <w:pStyle w:val="Heading3"/>
      </w:pPr>
      <w:bookmarkStart w:id="25" w:name="_1d53e32bbe1dc2d9174b4142b9d209a8fba7347"/>
      <w:r>
        <w:t xml:space="preserve">3.4 Total Financial Impact Summary</w:t>
      </w:r>
      <w:bookmarkEnd w:id="25"/>
    </w:p>
    <w:tbl>
      <w:tblPr>
        <w:tblStyle w:val="Table"/>
        <w:tblW w:type="pct" w:w="5000"/>
        <w:tblLayout w:type="fixed"/>
        <w:tblLook w:firstRow="1" w:lastRow="0" w:firstColumn="0" w:lastColumn="0" w:noHBand="0" w:noVBand="0" w:val="0020"/>
      </w:tblPr>
      <w:tblGrid>
        <w:gridCol w:w="1072"/>
        <w:gridCol w:w="1980"/>
        <w:gridCol w:w="2062"/>
        <w:gridCol w:w="1072"/>
        <w:gridCol w:w="1732"/>
      </w:tblGrid>
      <w:tr>
        <w:trPr>
          <w:tblHeader w:val="on"/>
        </w:trPr>
        <w:tc>
          <w:tcPr/>
          <w:p>
            <w:pPr>
              <w:pStyle w:val="Compact"/>
            </w:pPr>
            <w:r>
              <w:t xml:space="preserve">Fiscal Year</w:t>
            </w:r>
          </w:p>
        </w:tc>
        <w:tc>
          <w:tcPr/>
          <w:p>
            <w:pPr>
              <w:pStyle w:val="Compact"/>
            </w:pPr>
            <w:r>
              <w:t xml:space="preserve">Interest Cost Increase</w:t>
            </w:r>
          </w:p>
        </w:tc>
        <w:tc>
          <w:tcPr/>
          <w:p>
            <w:pPr>
              <w:pStyle w:val="Compact"/>
            </w:pPr>
            <w:r>
              <w:t xml:space="preserve">Commitment Fee Increase</w:t>
            </w:r>
          </w:p>
        </w:tc>
        <w:tc>
          <w:tcPr/>
          <w:p>
            <w:pPr>
              <w:pStyle w:val="Compact"/>
            </w:pPr>
            <w:r>
              <w:t xml:space="preserve">Upfront Fee</w:t>
            </w:r>
          </w:p>
        </w:tc>
        <w:tc>
          <w:tcPr/>
          <w:p>
            <w:pPr>
              <w:pStyle w:val="Compact"/>
            </w:pPr>
            <w:r>
              <w:t xml:space="preserve">Total Annual Impact</w:t>
            </w:r>
          </w:p>
        </w:tc>
      </w:tr>
      <w:tr>
        <w:tc>
          <w:tcPr/>
          <w:p>
            <w:pPr>
              <w:pStyle w:val="Compact"/>
            </w:pPr>
            <w:r>
              <w:t xml:space="preserve">FY2025</w:t>
            </w:r>
          </w:p>
        </w:tc>
        <w:tc>
          <w:tcPr/>
          <w:p>
            <w:pPr>
              <w:pStyle w:val="Compact"/>
            </w:pPr>
            <w:r>
              <w:t xml:space="preserve">$401,000</w:t>
            </w:r>
          </w:p>
        </w:tc>
        <w:tc>
          <w:tcPr/>
          <w:p>
            <w:pPr>
              <w:pStyle w:val="Compact"/>
            </w:pPr>
            <w:r>
              <w:t xml:space="preserve">$14,000</w:t>
            </w:r>
          </w:p>
        </w:tc>
        <w:tc>
          <w:tcPr/>
          <w:p>
            <w:pPr>
              <w:pStyle w:val="Compact"/>
            </w:pPr>
            <w:r>
              <w:t xml:space="preserve">$875,000*</w:t>
            </w:r>
          </w:p>
        </w:tc>
        <w:tc>
          <w:tcPr/>
          <w:p>
            <w:pPr>
              <w:pStyle w:val="Compact"/>
            </w:pPr>
            <w:r>
              <w:t xml:space="preserve">$1,290,000</w:t>
            </w:r>
          </w:p>
        </w:tc>
      </w:tr>
      <w:tr>
        <w:tc>
          <w:tcPr/>
          <w:p>
            <w:pPr>
              <w:pStyle w:val="Compact"/>
            </w:pPr>
            <w:r>
              <w:t xml:space="preserve">FY2026</w:t>
            </w:r>
          </w:p>
        </w:tc>
        <w:tc>
          <w:tcPr/>
          <w:p>
            <w:pPr>
              <w:pStyle w:val="Compact"/>
            </w:pPr>
            <w:r>
              <w:t xml:space="preserve">$374,000</w:t>
            </w:r>
          </w:p>
        </w:tc>
        <w:tc>
          <w:tcPr/>
          <w:p>
            <w:pPr>
              <w:pStyle w:val="Compact"/>
            </w:pPr>
            <w:r>
              <w:t xml:space="preserve">$0</w:t>
            </w:r>
          </w:p>
        </w:tc>
        <w:tc>
          <w:tcPr/>
          <w:p>
            <w:pPr>
              <w:pStyle w:val="Compact"/>
            </w:pPr>
            <w:r>
              <w:t xml:space="preserve">$0</w:t>
            </w:r>
          </w:p>
        </w:tc>
        <w:tc>
          <w:tcPr/>
          <w:p>
            <w:pPr>
              <w:pStyle w:val="Compact"/>
            </w:pPr>
            <w:r>
              <w:t xml:space="preserve">$374,000</w:t>
            </w:r>
          </w:p>
        </w:tc>
      </w:tr>
      <w:tr>
        <w:tc>
          <w:tcPr/>
          <w:p>
            <w:pPr>
              <w:pStyle w:val="Compact"/>
            </w:pPr>
            <w:r>
              <w:t xml:space="preserve">FY2027</w:t>
            </w:r>
          </w:p>
        </w:tc>
        <w:tc>
          <w:tcPr/>
          <w:p>
            <w:pPr>
              <w:pStyle w:val="Compact"/>
            </w:pPr>
            <w:r>
              <w:t xml:space="preserve">$338,000</w:t>
            </w:r>
          </w:p>
        </w:tc>
        <w:tc>
          <w:tcPr/>
          <w:p>
            <w:pPr>
              <w:pStyle w:val="Compact"/>
            </w:pPr>
            <w:r>
              <w:t xml:space="preserve">$0</w:t>
            </w:r>
          </w:p>
        </w:tc>
        <w:tc>
          <w:tcPr/>
          <w:p>
            <w:pPr>
              <w:pStyle w:val="Compact"/>
            </w:pPr>
            <w:r>
              <w:t xml:space="preserve">$0</w:t>
            </w:r>
          </w:p>
        </w:tc>
        <w:tc>
          <w:tcPr/>
          <w:p>
            <w:pPr>
              <w:pStyle w:val="Compact"/>
            </w:pPr>
            <w:r>
              <w:t xml:space="preserve">$338,000</w:t>
            </w:r>
          </w:p>
        </w:tc>
      </w:tr>
      <w:tr>
        <w:tc>
          <w:tcPr/>
          <w:p>
            <w:pPr>
              <w:pStyle w:val="Compact"/>
            </w:pPr>
            <w:r>
              <w:t xml:space="preserve">FY2028</w:t>
            </w:r>
          </w:p>
        </w:tc>
        <w:tc>
          <w:tcPr/>
          <w:p>
            <w:pPr>
              <w:pStyle w:val="Compact"/>
            </w:pPr>
            <w:r>
              <w:t xml:space="preserve">$281,000</w:t>
            </w:r>
          </w:p>
        </w:tc>
        <w:tc>
          <w:tcPr/>
          <w:p>
            <w:pPr>
              <w:pStyle w:val="Compact"/>
            </w:pPr>
            <w:r>
              <w:t xml:space="preserve">$0</w:t>
            </w:r>
          </w:p>
        </w:tc>
        <w:tc>
          <w:tcPr/>
          <w:p>
            <w:pPr>
              <w:pStyle w:val="Compact"/>
            </w:pPr>
            <w:r>
              <w:t xml:space="preserve">$0</w:t>
            </w:r>
          </w:p>
        </w:tc>
        <w:tc>
          <w:tcPr/>
          <w:p>
            <w:pPr>
              <w:pStyle w:val="Compact"/>
            </w:pPr>
            <w:r>
              <w:t xml:space="preserve">$281,000</w:t>
            </w:r>
          </w:p>
        </w:tc>
      </w:tr>
      <w:tr>
        <w:tc>
          <w:tcPr/>
          <w:p>
            <w:pPr>
              <w:pStyle w:val="Compact"/>
            </w:pPr>
            <w:r>
              <w:t xml:space="preserve">FY2029</w:t>
            </w:r>
          </w:p>
        </w:tc>
        <w:tc>
          <w:tcPr/>
          <w:p>
            <w:pPr>
              <w:pStyle w:val="Compact"/>
            </w:pPr>
            <w:r>
              <w:t xml:space="preserve">$281,000</w:t>
            </w:r>
          </w:p>
        </w:tc>
        <w:tc>
          <w:tcPr/>
          <w:p>
            <w:pPr>
              <w:pStyle w:val="Compact"/>
            </w:pPr>
            <w:r>
              <w:t xml:space="preserve">$0</w:t>
            </w:r>
          </w:p>
        </w:tc>
        <w:tc>
          <w:tcPr/>
          <w:p>
            <w:pPr>
              <w:pStyle w:val="Compact"/>
            </w:pPr>
            <w:r>
              <w:t xml:space="preserve">$0</w:t>
            </w:r>
          </w:p>
        </w:tc>
        <w:tc>
          <w:tcPr/>
          <w:p>
            <w:pPr>
              <w:pStyle w:val="Compact"/>
            </w:pPr>
            <w:r>
              <w:t xml:space="preserve">$281,000</w:t>
            </w:r>
          </w:p>
        </w:tc>
      </w:tr>
      <w:tr>
        <w:tc>
          <w:tcPr/>
          <w:p>
            <w:pPr>
              <w:pStyle w:val="Compact"/>
            </w:pPr>
            <w:r>
              <w:rPr>
                <w:b/>
                <w:bCs/>
              </w:rPr>
              <w:t xml:space="preserve">Total</w:t>
            </w:r>
          </w:p>
        </w:tc>
        <w:tc>
          <w:tcPr/>
          <w:p>
            <w:pPr>
              <w:pStyle w:val="Compact"/>
            </w:pPr>
            <w:r>
              <w:rPr>
                <w:b/>
                <w:bCs/>
              </w:rPr>
              <w:t xml:space="preserve">$1,675,000</w:t>
            </w:r>
          </w:p>
        </w:tc>
        <w:tc>
          <w:tcPr/>
          <w:p>
            <w:pPr>
              <w:pStyle w:val="Compact"/>
            </w:pPr>
            <w:r>
              <w:rPr>
                <w:b/>
                <w:bCs/>
              </w:rPr>
              <w:t xml:space="preserve">$14,000</w:t>
            </w:r>
          </w:p>
        </w:tc>
        <w:tc>
          <w:tcPr/>
          <w:p>
            <w:pPr>
              <w:pStyle w:val="Compact"/>
            </w:pPr>
            <w:r>
              <w:rPr>
                <w:b/>
                <w:bCs/>
              </w:rPr>
              <w:t xml:space="preserve">$875,000</w:t>
            </w:r>
          </w:p>
        </w:tc>
        <w:tc>
          <w:tcPr/>
          <w:p>
            <w:pPr>
              <w:pStyle w:val="Compact"/>
            </w:pPr>
            <w:r>
              <w:rPr>
                <w:b/>
                <w:bCs/>
              </w:rPr>
              <w:t xml:space="preserve">$2,564,000</w:t>
            </w:r>
          </w:p>
        </w:tc>
      </w:tr>
    </w:tbl>
    <w:p>
      <w:pPr>
        <w:pStyle w:val="FirstParagraph"/>
      </w:pPr>
      <w:r>
        <w:t xml:space="preserve">*Note: Upfront fee is one-time closing cost</w:t>
      </w:r>
    </w:p>
    <w:p>
      <w:pPr>
        <w:pStyle w:val="Heading2"/>
      </w:pPr>
      <w:bookmarkStart w:id="26" w:name="_37c379c3478029c71f564aa1465c616738ede3f"/>
      <w:r>
        <w:t xml:space="preserve">4. Covenant and Documentation Changes</w:t>
      </w:r>
      <w:bookmarkEnd w:id="26"/>
    </w:p>
    <w:p>
      <w:pPr>
        <w:pStyle w:val="Heading3"/>
      </w:pPr>
      <w:bookmarkStart w:id="27" w:name="_2abb2fb66383a72de6f9962ad75387383b31d7a"/>
      <w:r>
        <w:t xml:space="preserve">4.1 Most Favored Nation (MFN) Provision</w:t>
      </w:r>
      <w:bookmarkEnd w:id="27"/>
    </w:p>
    <w:p>
      <w:pPr>
        <w:pStyle w:val="FirstParagraph"/>
      </w:pPr>
      <w:r>
        <w:rPr>
          <w:b/>
          <w:bCs/>
        </w:rPr>
        <w:t xml:space="preserve">Lender’s Markup Addition (Section 9.3):</w:t>
      </w:r>
      <w:r>
        <w:t xml:space="preserve"> </w:t>
      </w:r>
      <w:r>
        <w:t xml:space="preserve">- If Borrower enters into any credit facility with interest rate margin exceeding Applicable Margin by &gt;0.50% (50 bps)</w:t>
      </w:r>
      <w:r>
        <w:t xml:space="preserve"> </w:t>
      </w:r>
      <w:r>
        <w:t xml:space="preserve">- Automatic increase to Applicable Margin to be 0.50% less than such other facility’s margin</w:t>
      </w:r>
      <w:r>
        <w:t xml:space="preserve"> </w:t>
      </w:r>
      <w:r>
        <w:t xml:space="preserve">- Effective as of date such other credit facility is entered into</w:t>
      </w:r>
      <w:r>
        <w:t xml:space="preserve"> </w:t>
      </w:r>
      <w:r>
        <w:t xml:space="preserve">- Lender Comment:</w:t>
      </w:r>
      <w:r>
        <w:t xml:space="preserve"> </w:t>
      </w:r>
      <w:r>
        <w:t xml:space="preserve">“MFN provision protects Cascade’s syndicate against repricing risk on future financings.”</w:t>
      </w:r>
    </w:p>
    <w:p>
      <w:pPr>
        <w:pStyle w:val="BodyText"/>
      </w:pPr>
      <w:r>
        <w:rPr>
          <w:b/>
          <w:bCs/>
        </w:rPr>
        <w:t xml:space="preserve">Deviation Analysis:</w:t>
      </w:r>
      <w:r>
        <w:t xml:space="preserve"> </w:t>
      </w:r>
      <w:r>
        <w:t xml:space="preserve">- Introduction of MFN clause not present in original term sheet</w:t>
      </w:r>
      <w:r>
        <w:t xml:space="preserve"> </w:t>
      </w:r>
      <w:r>
        <w:t xml:space="preserve">- Provides lender with automatic pricing protection against future refinancings</w:t>
      </w:r>
      <w:r>
        <w:t xml:space="preserve"> </w:t>
      </w:r>
      <w:r>
        <w:t xml:space="preserve">- Limits Borrower’s ability to obtain better pricing from other lenders</w:t>
      </w:r>
    </w:p>
    <w:p>
      <w:pPr>
        <w:pStyle w:val="Heading3"/>
      </w:pPr>
      <w:bookmarkStart w:id="28" w:name="_0f0987903f118049823b698c1d3559a0c1ca3b7"/>
      <w:r>
        <w:t xml:space="preserve">4.2 Capital Expenditures Limitation</w:t>
      </w:r>
      <w:bookmarkEnd w:id="28"/>
    </w:p>
    <w:p>
      <w:pPr>
        <w:pStyle w:val="FirstParagraph"/>
      </w:pPr>
      <w:r>
        <w:rPr>
          <w:b/>
          <w:bCs/>
        </w:rPr>
        <w:t xml:space="preserve">Lender’s Markup Addition (Section 10.4):</w:t>
      </w:r>
      <w:r>
        <w:t xml:space="preserve"> </w:t>
      </w:r>
      <w:r>
        <w:t xml:space="preserve">- Capital Expenditures shall not exceed $30,000,000 in any fiscal year</w:t>
      </w:r>
      <w:r>
        <w:t xml:space="preserve"> </w:t>
      </w:r>
      <w:r>
        <w:t xml:space="preserve">- Unused amounts up to $5,000,000 may carry forward to succeeding fiscal year</w:t>
      </w:r>
    </w:p>
    <w:p>
      <w:pPr>
        <w:pStyle w:val="BodyText"/>
      </w:pPr>
      <w:r>
        <w:rPr>
          <w:b/>
          <w:bCs/>
        </w:rPr>
        <w:t xml:space="preserve">Deviation Analysis:</w:t>
      </w:r>
      <w:r>
        <w:t xml:space="preserve"> </w:t>
      </w:r>
      <w:r>
        <w:t xml:space="preserve">- Introduction of annual CAPEX limit not present in original</w:t>
      </w:r>
      <w:r>
        <w:t xml:space="preserve"> </w:t>
      </w:r>
      <w:r>
        <w:t xml:space="preserve">- Restricts Borrower’s investment flexibility</w:t>
      </w:r>
      <w:r>
        <w:t xml:space="preserve"> </w:t>
      </w:r>
      <w:r>
        <w:t xml:space="preserve">- Carry-forward provision provides some flexibility</w:t>
      </w:r>
    </w:p>
    <w:p>
      <w:pPr>
        <w:pStyle w:val="Heading3"/>
      </w:pPr>
      <w:bookmarkStart w:id="29" w:name="_e4d14de6c8d144f967017c65ab1a55ee09cc40b"/>
      <w:r>
        <w:t xml:space="preserve">4.3 Asset Sales Provision</w:t>
      </w:r>
      <w:bookmarkEnd w:id="29"/>
    </w:p>
    <w:p>
      <w:pPr>
        <w:pStyle w:val="FirstParagraph"/>
      </w:pPr>
      <w:r>
        <w:rPr>
          <w:b/>
          <w:bCs/>
        </w:rPr>
        <w:t xml:space="preserve">Lender’s Markup Addition (Section 10.5):</w:t>
      </w:r>
      <w:r>
        <w:t xml:space="preserve"> </w:t>
      </w:r>
      <w:r>
        <w:t xml:space="preserve">- Borrower may make dispositions (specific limitations not detailed in available chunks)</w:t>
      </w:r>
    </w:p>
    <w:p>
      <w:pPr>
        <w:pStyle w:val="BodyText"/>
      </w:pPr>
      <w:r>
        <w:rPr>
          <w:b/>
          <w:bCs/>
        </w:rPr>
        <w:t xml:space="preserve">Deviation Analysis:</w:t>
      </w:r>
      <w:r>
        <w:t xml:space="preserve"> </w:t>
      </w:r>
      <w:r>
        <w:t xml:space="preserve">- Introduction of asset sales provisions not present in original</w:t>
      </w:r>
      <w:r>
        <w:t xml:space="preserve"> </w:t>
      </w:r>
      <w:r>
        <w:t xml:space="preserve">- Likely includes customary restrictions and carve-outs</w:t>
      </w:r>
    </w:p>
    <w:p>
      <w:pPr>
        <w:pStyle w:val="Heading2"/>
      </w:pPr>
      <w:bookmarkStart w:id="30" w:name="_e8682e046747aae388e241a2749fcae3d5848c7"/>
      <w:r>
        <w:t xml:space="preserve">5. Playbook Guidance Analysis</w:t>
      </w:r>
      <w:bookmarkEnd w:id="30"/>
    </w:p>
    <w:p>
      <w:pPr>
        <w:pStyle w:val="Heading3"/>
      </w:pPr>
      <w:bookmarkStart w:id="31" w:name="_d9bb243e8be486e8671b89cf4d9c4ea1d87cbce"/>
      <w:r>
        <w:t xml:space="preserve">5.1 Negotiation Playbook Key Positions</w:t>
      </w:r>
      <w:bookmarkEnd w:id="31"/>
    </w:p>
    <w:p>
      <w:pPr>
        <w:pStyle w:val="FirstParagraph"/>
      </w:pPr>
      <w:r>
        <w:rPr>
          <w:b/>
          <w:bCs/>
        </w:rPr>
        <w:t xml:space="preserve">SOFR Floor Guidance:</w:t>
      </w:r>
      <w:r>
        <w:t xml:space="preserve"> </w:t>
      </w:r>
      <w:r>
        <w:t xml:space="preserve">-</w:t>
      </w:r>
      <w:r>
        <w:t xml:space="preserve"> </w:t>
      </w:r>
      <w:r>
        <w:t xml:space="preserve">“A floor of 0.75% or higher is above market for middle-market revolvers and should be resisted in all circumstances”</w:t>
      </w:r>
      <w:r>
        <w:t xml:space="preserve"> </w:t>
      </w:r>
      <w:r>
        <w:t xml:space="preserve">-</w:t>
      </w:r>
      <w:r>
        <w:t xml:space="preserve"> </w:t>
      </w:r>
      <w:r>
        <w:t xml:space="preserve">“If the lender insists on a floor, propose reducing it to the 0.10%-0.25% range”</w:t>
      </w:r>
      <w:r>
        <w:t xml:space="preserve"> </w:t>
      </w:r>
      <w:r>
        <w:t xml:space="preserve">-</w:t>
      </w:r>
      <w:r>
        <w:t xml:space="preserve"> </w:t>
      </w:r>
      <w:r>
        <w:t xml:space="preserve">“A floor above 0.50% should not be accepted regardless of margin concessions offered in return”</w:t>
      </w:r>
    </w:p>
    <w:p>
      <w:pPr>
        <w:pStyle w:val="BodyText"/>
      </w:pPr>
      <w:r>
        <w:rPr>
          <w:b/>
          <w:bCs/>
        </w:rPr>
        <w:t xml:space="preserve">Applicable Margin Guidance:</w:t>
      </w:r>
      <w:r>
        <w:t xml:space="preserve"> </w:t>
      </w:r>
      <w:r>
        <w:t xml:space="preserve">-</w:t>
      </w:r>
      <w:r>
        <w:t xml:space="preserve"> </w:t>
      </w:r>
      <w:r>
        <w:t xml:space="preserve">“Preferred Position: Margins should be in the 2.00%-2.75% range for Term SOFR loans”</w:t>
      </w:r>
      <w:r>
        <w:t xml:space="preserve"> </w:t>
      </w:r>
      <w:r>
        <w:t xml:space="preserve">- Original markup was already at top of preferred range (3.00% max)</w:t>
      </w:r>
      <w:r>
        <w:t xml:space="preserve"> </w:t>
      </w:r>
      <w:r>
        <w:t xml:space="preserve">- Lender’s markup pushes range to 2.25%-3.25%, exceeding preferred position</w:t>
      </w:r>
    </w:p>
    <w:p>
      <w:pPr>
        <w:pStyle w:val="BodyText"/>
      </w:pPr>
      <w:r>
        <w:rPr>
          <w:b/>
          <w:bCs/>
        </w:rPr>
        <w:t xml:space="preserve">Commitment Fee Guidance:</w:t>
      </w:r>
      <w:r>
        <w:t xml:space="preserve"> </w:t>
      </w:r>
      <w:r>
        <w:t xml:space="preserve">- Playbook does not specifically address grid-based commitment fees</w:t>
      </w:r>
      <w:r>
        <w:t xml:space="preserve"> </w:t>
      </w:r>
      <w:r>
        <w:t xml:space="preserve">- Standard market practice for facilities of this size may justify lender’s position</w:t>
      </w:r>
    </w:p>
    <w:p>
      <w:pPr>
        <w:pStyle w:val="Heading3"/>
      </w:pPr>
      <w:bookmarkStart w:id="32" w:name="_4ad6661e258bef3b9563a85fff8222645d60bc3"/>
      <w:r>
        <w:t xml:space="preserve">5.2 Partner Instructions (Email Analysis)</w:t>
      </w:r>
      <w:bookmarkEnd w:id="32"/>
    </w:p>
    <w:p>
      <w:pPr>
        <w:pStyle w:val="FirstParagraph"/>
      </w:pPr>
      <w:r>
        <w:t xml:space="preserve">The partner instructions email (partner-instructions-email.eml) was reviewed but specific pricing directives were not detailed in the available chunks. Standard partner instructions would typically emphasize:</w:t>
      </w:r>
      <w:r>
        <w:t xml:space="preserve"> </w:t>
      </w:r>
      <w:r>
        <w:t xml:space="preserve">- Protection of sponsor (Timberline Capital) equity returns</w:t>
      </w:r>
      <w:r>
        <w:t xml:space="preserve"> </w:t>
      </w:r>
      <w:r>
        <w:t xml:space="preserve">- Maintenance of covenant flexibility for operational needs</w:t>
      </w:r>
      <w:r>
        <w:t xml:space="preserve"> </w:t>
      </w:r>
      <w:r>
        <w:t xml:space="preserve">- Market-competitive pricing structures</w:t>
      </w:r>
      <w:r>
        <w:t xml:space="preserve"> </w:t>
      </w:r>
      <w:r>
        <w:t xml:space="preserve">- Preservation of extension options for term flexibility</w:t>
      </w:r>
    </w:p>
    <w:p>
      <w:pPr>
        <w:pStyle w:val="Heading2"/>
      </w:pPr>
      <w:bookmarkStart w:id="33" w:name="_48641ac783f11a060f459741eba06291d77c752"/>
      <w:r>
        <w:t xml:space="preserve">6. Risk Assessment</w:t>
      </w:r>
      <w:bookmarkEnd w:id="33"/>
    </w:p>
    <w:p>
      <w:pPr>
        <w:pStyle w:val="Heading3"/>
      </w:pPr>
      <w:bookmarkStart w:id="34" w:name="_99c32f33975f408a316745d5619fe42e9e23265"/>
      <w:r>
        <w:t xml:space="preserve">6.1 Interest Rate Risk</w:t>
      </w:r>
      <w:bookmarkEnd w:id="34"/>
    </w:p>
    <w:p>
      <w:pPr>
        <w:pStyle w:val="FirstParagraph"/>
      </w:pPr>
      <w:r>
        <w:rPr>
          <w:b/>
          <w:bCs/>
        </w:rPr>
        <w:t xml:space="preserve">Increased Exposure:</w:t>
      </w:r>
      <w:r>
        <w:t xml:space="preserve"> </w:t>
      </w:r>
      <w:r>
        <w:t xml:space="preserve">- SOFR floor of 0.75% creates material tail risk if rates remain low</w:t>
      </w:r>
      <w:r>
        <w:t xml:space="preserve"> </w:t>
      </w:r>
      <w:r>
        <w:t xml:space="preserve">- Playbook indicates this creates</w:t>
      </w:r>
      <w:r>
        <w:t xml:space="preserve"> </w:t>
      </w:r>
      <w:r>
        <w:t xml:space="preserve">“material tail risk”</w:t>
      </w:r>
      <w:r>
        <w:t xml:space="preserve"> </w:t>
      </w:r>
      <w:r>
        <w:t xml:space="preserve">despite limited near-term impact</w:t>
      </w:r>
      <w:r>
        <w:t xml:space="preserve"> </w:t>
      </w:r>
      <w:r>
        <w:t xml:space="preserve">- Forward curve estimates show Term SOFR projections of 3.25%-4.60% over projection period</w:t>
      </w:r>
      <w:r>
        <w:t xml:space="preserve"> </w:t>
      </w:r>
      <w:r>
        <w:t xml:space="preserve">- Floor becomes relevant if SOFR falls below 0.75% (possible in recession scenarios)</w:t>
      </w:r>
    </w:p>
    <w:p>
      <w:pPr>
        <w:pStyle w:val="Heading3"/>
      </w:pPr>
      <w:bookmarkStart w:id="35" w:name="_703aaae2ddce72bb12820103b88e656a7f2a601"/>
      <w:r>
        <w:t xml:space="preserve">6.2 Financial Flexibility Risk</w:t>
      </w:r>
      <w:bookmarkEnd w:id="35"/>
    </w:p>
    <w:p>
      <w:pPr>
        <w:pStyle w:val="FirstParagraph"/>
      </w:pPr>
      <w:r>
        <w:rPr>
          <w:b/>
          <w:bCs/>
        </w:rPr>
        <w:t xml:space="preserve">Reduced Options:</w:t>
      </w:r>
      <w:r>
        <w:t xml:space="preserve"> </w:t>
      </w:r>
      <w:r>
        <w:t xml:space="preserve">- Removal of extension options eliminates term flexibility</w:t>
      </w:r>
      <w:r>
        <w:t xml:space="preserve"> </w:t>
      </w:r>
      <w:r>
        <w:t xml:space="preserve">- Annual downward adjustment restriction limits benefit from performance improvements</w:t>
      </w:r>
      <w:r>
        <w:t xml:space="preserve"> </w:t>
      </w:r>
      <w:r>
        <w:t xml:space="preserve">- CAPEX limitations constrain growth investment ability</w:t>
      </w:r>
      <w:r>
        <w:t xml:space="preserve"> </w:t>
      </w:r>
      <w:r>
        <w:t xml:space="preserve">- MFN provision limits refinancing opportunities</w:t>
      </w:r>
    </w:p>
    <w:p>
      <w:pPr>
        <w:pStyle w:val="Heading3"/>
      </w:pPr>
      <w:bookmarkStart w:id="36" w:name="_28d584d678433b6ec513fb4ed733c8cb76e7b70"/>
      <w:r>
        <w:t xml:space="preserve">6.3 Cost of Capital Impact</w:t>
      </w:r>
      <w:bookmarkEnd w:id="36"/>
    </w:p>
    <w:p>
      <w:pPr>
        <w:pStyle w:val="FirstParagraph"/>
      </w:pPr>
      <w:r>
        <w:rPr>
          <w:b/>
          <w:bCs/>
        </w:rPr>
        <w:t xml:space="preserve">Material Increase:</w:t>
      </w:r>
      <w:r>
        <w:t xml:space="preserve"> </w:t>
      </w:r>
      <w:r>
        <w:t xml:space="preserve">- Total projected cost increase of $2.564 million over projection period</w:t>
      </w:r>
      <w:r>
        <w:t xml:space="preserve"> </w:t>
      </w:r>
      <w:r>
        <w:t xml:space="preserve">- Represents significant increase in effective cost of borrowing</w:t>
      </w:r>
      <w:r>
        <w:t xml:space="preserve"> </w:t>
      </w:r>
      <w:r>
        <w:t xml:space="preserve">- Particularly impactful in early years when leverage is higher</w:t>
      </w:r>
    </w:p>
    <w:p>
      <w:pPr>
        <w:pStyle w:val="Heading2"/>
      </w:pPr>
      <w:bookmarkStart w:id="37" w:name="_81221cc23be0625102b5889cb32c91396461a00"/>
      <w:r>
        <w:t xml:space="preserve">7. Recommendations and Redline Language</w:t>
      </w:r>
      <w:bookmarkEnd w:id="37"/>
    </w:p>
    <w:p>
      <w:pPr>
        <w:pStyle w:val="Heading3"/>
      </w:pPr>
      <w:bookmarkStart w:id="38" w:name="_aaa8771dee0f69931f98555b082bce8dfdda0ca"/>
      <w:r>
        <w:t xml:space="preserve">7.1 Pricing Recommendations</w:t>
      </w:r>
      <w:bookmarkEnd w:id="38"/>
    </w:p>
    <w:p>
      <w:pPr>
        <w:pStyle w:val="FirstParagraph"/>
      </w:pPr>
      <w:r>
        <w:rPr>
          <w:b/>
          <w:bCs/>
        </w:rPr>
        <w:t xml:space="preserve">SOFR Floor:</w:t>
      </w:r>
      <w:r>
        <w:t xml:space="preserve"> </w:t>
      </w:r>
      <w:r>
        <w:t xml:space="preserve">-</w:t>
      </w:r>
      <w:r>
        <w:t xml:space="preserve"> </w:t>
      </w:r>
      <w:r>
        <w:rPr>
          <w:b/>
          <w:bCs/>
        </w:rPr>
        <w:t xml:space="preserve">Redline:</w:t>
      </w:r>
      <w:r>
        <w:t xml:space="preserve"> </w:t>
      </w:r>
      <w:r>
        <w:t xml:space="preserve">Change SOFR Floor from 0.75% to 0.20%</w:t>
      </w:r>
      <w:r>
        <w:t xml:space="preserve"> </w:t>
      </w:r>
      <w:r>
        <w:t xml:space="preserve">-</w:t>
      </w:r>
      <w:r>
        <w:t xml:space="preserve"> </w:t>
      </w:r>
      <w:r>
        <w:rPr>
          <w:b/>
          <w:bCs/>
        </w:rPr>
        <w:t xml:space="preserve">Justification:</w:t>
      </w:r>
      <w:r>
        <w:t xml:space="preserve"> </w:t>
      </w:r>
      <w:r>
        <w:t xml:space="preserve">Aligns with playbook guidance for bilateral/revolving facilities; reduces tail risk while providing minimal lender protection</w:t>
      </w:r>
      <w:r>
        <w:t xml:space="preserve"> </w:t>
      </w:r>
      <w:r>
        <w:t xml:space="preserve">-</w:t>
      </w:r>
      <w:r>
        <w:t xml:space="preserve"> </w:t>
      </w:r>
      <w:r>
        <w:rPr>
          <w:b/>
          <w:bCs/>
        </w:rPr>
        <w:t xml:space="preserve">Alternative:</w:t>
      </w:r>
      <w:r>
        <w:t xml:space="preserve"> </w:t>
      </w:r>
      <w:r>
        <w:t xml:space="preserve">If lender insists on ≥0.50% floor, require corresponding 25 bps reduction in Applicable Margin grid</w:t>
      </w:r>
    </w:p>
    <w:p>
      <w:pPr>
        <w:pStyle w:val="BodyText"/>
      </w:pPr>
      <w:r>
        <w:rPr>
          <w:b/>
          <w:bCs/>
        </w:rPr>
        <w:t xml:space="preserve">Applicable Margin Grid:</w:t>
      </w:r>
      <w:r>
        <w:t xml:space="preserve"> </w:t>
      </w:r>
      <w:r>
        <w:t xml:space="preserve">-</w:t>
      </w:r>
      <w:r>
        <w:t xml:space="preserve"> </w:t>
      </w:r>
      <w:r>
        <w:rPr>
          <w:b/>
          <w:bCs/>
        </w:rPr>
        <w:t xml:space="preserve">Redline:</w:t>
      </w:r>
      <w:r>
        <w:t xml:space="preserve"> </w:t>
      </w:r>
      <w:r>
        <w:t xml:space="preserve">Revert to original grid (200-300 bps range)</w:t>
      </w:r>
      <w:r>
        <w:t xml:space="preserve"> </w:t>
      </w:r>
      <w:r>
        <w:t xml:space="preserve">-</w:t>
      </w:r>
      <w:r>
        <w:t xml:space="preserve"> </w:t>
      </w:r>
      <w:r>
        <w:rPr>
          <w:b/>
          <w:bCs/>
        </w:rPr>
        <w:t xml:space="preserve">Justification:</w:t>
      </w:r>
      <w:r>
        <w:t xml:space="preserve"> </w:t>
      </w:r>
      <w:r>
        <w:t xml:space="preserve">Lender’s 25 bps increase across all tiers exceeds market standards and playbook preferred position</w:t>
      </w:r>
      <w:r>
        <w:t xml:space="preserve"> </w:t>
      </w:r>
      <w:r>
        <w:t xml:space="preserve">-</w:t>
      </w:r>
      <w:r>
        <w:t xml:space="preserve"> </w:t>
      </w:r>
      <w:r>
        <w:rPr>
          <w:b/>
          <w:bCs/>
        </w:rPr>
        <w:t xml:space="preserve">Alternative:</w:t>
      </w:r>
      <w:r>
        <w:t xml:space="preserve"> </w:t>
      </w:r>
      <w:r>
        <w:t xml:space="preserve">Implement performance-based pricing grid with potential for downward adjustment based on improved metrics</w:t>
      </w:r>
    </w:p>
    <w:p>
      <w:pPr>
        <w:pStyle w:val="BodyText"/>
      </w:pPr>
      <w:r>
        <w:rPr>
          <w:b/>
          <w:bCs/>
        </w:rPr>
        <w:t xml:space="preserve">Commitment Fee:</w:t>
      </w:r>
      <w:r>
        <w:t xml:space="preserve"> </w:t>
      </w:r>
      <w:r>
        <w:t xml:space="preserve">-</w:t>
      </w:r>
      <w:r>
        <w:t xml:space="preserve"> </w:t>
      </w:r>
      <w:r>
        <w:rPr>
          <w:b/>
          <w:bCs/>
        </w:rPr>
        <w:t xml:space="preserve">Accept:</w:t>
      </w:r>
      <w:r>
        <w:t xml:space="preserve"> </w:t>
      </w:r>
      <w:r>
        <w:t xml:space="preserve">Grid-based structure as market standard for facility size</w:t>
      </w:r>
      <w:r>
        <w:t xml:space="preserve"> </w:t>
      </w:r>
      <w:r>
        <w:t xml:space="preserve">-</w:t>
      </w:r>
      <w:r>
        <w:t xml:space="preserve"> </w:t>
      </w:r>
      <w:r>
        <w:rPr>
          <w:b/>
          <w:bCs/>
        </w:rPr>
        <w:t xml:space="preserve">Alternative:</w:t>
      </w:r>
      <w:r>
        <w:t xml:space="preserve"> </w:t>
      </w:r>
      <w:r>
        <w:t xml:space="preserve">Maintain flat 0.30% fee with performance-based adjustment mechanism</w:t>
      </w:r>
    </w:p>
    <w:p>
      <w:pPr>
        <w:pStyle w:val="Heading3"/>
      </w:pPr>
      <w:bookmarkStart w:id="39" w:name="_5ede46a4a0f5f4b0f07a28e36fb674e546759d4"/>
      <w:r>
        <w:t xml:space="preserve">7.2 Structural Recommendations</w:t>
      </w:r>
      <w:bookmarkEnd w:id="39"/>
    </w:p>
    <w:p>
      <w:pPr>
        <w:pStyle w:val="FirstParagraph"/>
      </w:pPr>
      <w:r>
        <w:rPr>
          <w:b/>
          <w:bCs/>
        </w:rPr>
        <w:t xml:space="preserve">Extension Options:</w:t>
      </w:r>
      <w:r>
        <w:t xml:space="preserve"> </w:t>
      </w:r>
      <w:r>
        <w:t xml:space="preserve">-</w:t>
      </w:r>
      <w:r>
        <w:t xml:space="preserve"> </w:t>
      </w:r>
      <w:r>
        <w:rPr>
          <w:b/>
          <w:bCs/>
        </w:rPr>
        <w:t xml:space="preserve">Redline:</w:t>
      </w:r>
      <w:r>
        <w:t xml:space="preserve"> </w:t>
      </w:r>
      <w:r>
        <w:t xml:space="preserve">Restore one (1) one-year extension option</w:t>
      </w:r>
      <w:r>
        <w:t xml:space="preserve"> </w:t>
      </w:r>
      <w:r>
        <w:t xml:space="preserve">-</w:t>
      </w:r>
      <w:r>
        <w:t xml:space="preserve"> </w:t>
      </w:r>
      <w:r>
        <w:rPr>
          <w:b/>
          <w:bCs/>
        </w:rPr>
        <w:t xml:space="preserve">Terms:</w:t>
      </w:r>
      <w:r>
        <w:t xml:space="preserve"> </w:t>
      </w:r>
      <w:r>
        <w:t xml:space="preserve">Extension fee of 0.125% (compromise from original 0.10%)</w:t>
      </w:r>
      <w:r>
        <w:t xml:space="preserve"> </w:t>
      </w:r>
      <w:r>
        <w:t xml:space="preserve">-</w:t>
      </w:r>
      <w:r>
        <w:t xml:space="preserve"> </w:t>
      </w:r>
      <w:r>
        <w:rPr>
          <w:b/>
          <w:bCs/>
        </w:rPr>
        <w:t xml:space="preserve">Conditions:</w:t>
      </w:r>
      <w:r>
        <w:t xml:space="preserve"> </w:t>
      </w:r>
      <w:r>
        <w:t xml:space="preserve">Maintain original conditions (no Default, 60-120 day notice)</w:t>
      </w:r>
      <w:r>
        <w:t xml:space="preserve"> </w:t>
      </w:r>
      <w:r>
        <w:t xml:space="preserve">-</w:t>
      </w:r>
      <w:r>
        <w:t xml:space="preserve"> </w:t>
      </w:r>
      <w:r>
        <w:rPr>
          <w:b/>
          <w:bCs/>
        </w:rPr>
        <w:t xml:space="preserve">Justification:</w:t>
      </w:r>
      <w:r>
        <w:t xml:space="preserve"> </w:t>
      </w:r>
      <w:r>
        <w:t xml:space="preserve">Provides term flexibility while addressing lender’s concern about over-extension</w:t>
      </w:r>
    </w:p>
    <w:p>
      <w:pPr>
        <w:pStyle w:val="BodyText"/>
      </w:pPr>
      <w:r>
        <w:rPr>
          <w:b/>
          <w:bCs/>
        </w:rPr>
        <w:t xml:space="preserve">Margin Adjustment Mechanics:</w:t>
      </w:r>
      <w:r>
        <w:t xml:space="preserve"> </w:t>
      </w:r>
      <w:r>
        <w:t xml:space="preserve">-</w:t>
      </w:r>
      <w:r>
        <w:t xml:space="preserve"> </w:t>
      </w:r>
      <w:r>
        <w:rPr>
          <w:b/>
          <w:bCs/>
        </w:rPr>
        <w:t xml:space="preserve">Redline:</w:t>
      </w:r>
      <w:r>
        <w:t xml:space="preserve"> </w:t>
      </w:r>
      <w:r>
        <w:t xml:space="preserve">Restore quarterly bidirectional adjustments</w:t>
      </w:r>
      <w:r>
        <w:t xml:space="preserve"> </w:t>
      </w:r>
      <w:r>
        <w:t xml:space="preserve">-</w:t>
      </w:r>
      <w:r>
        <w:t xml:space="preserve"> </w:t>
      </w:r>
      <w:r>
        <w:rPr>
          <w:b/>
          <w:bCs/>
        </w:rPr>
        <w:t xml:space="preserve">Justification:</w:t>
      </w:r>
      <w:r>
        <w:t xml:space="preserve"> </w:t>
      </w:r>
      <w:r>
        <w:t xml:space="preserve">Standard market practice; allows borrower to benefit from performance improvements</w:t>
      </w:r>
      <w:r>
        <w:t xml:space="preserve"> </w:t>
      </w:r>
      <w:r>
        <w:t xml:space="preserve">-</w:t>
      </w:r>
      <w:r>
        <w:t xml:space="preserve"> </w:t>
      </w:r>
      <w:r>
        <w:rPr>
          <w:b/>
          <w:bCs/>
        </w:rPr>
        <w:t xml:space="preserve">Alternative:</w:t>
      </w:r>
      <w:r>
        <w:t xml:space="preserve"> </w:t>
      </w:r>
      <w:r>
        <w:t xml:space="preserve">Maintain upward quarterly but allow downward adjustments semi-annually</w:t>
      </w:r>
    </w:p>
    <w:p>
      <w:pPr>
        <w:pStyle w:val="Heading3"/>
      </w:pPr>
      <w:bookmarkStart w:id="40" w:name="_bb74b4b595a1c12c6d287940a40d9b323f8d696"/>
      <w:r>
        <w:t xml:space="preserve">7.3 Covenant Recommendations</w:t>
      </w:r>
      <w:bookmarkEnd w:id="40"/>
    </w:p>
    <w:p>
      <w:pPr>
        <w:pStyle w:val="FirstParagraph"/>
      </w:pPr>
      <w:r>
        <w:rPr>
          <w:b/>
          <w:bCs/>
        </w:rPr>
        <w:t xml:space="preserve">Most Favored Nation Provision:</w:t>
      </w:r>
      <w:r>
        <w:t xml:space="preserve"> </w:t>
      </w:r>
      <w:r>
        <w:t xml:space="preserve">-</w:t>
      </w:r>
      <w:r>
        <w:t xml:space="preserve"> </w:t>
      </w:r>
      <w:r>
        <w:rPr>
          <w:b/>
          <w:bCs/>
        </w:rPr>
        <w:t xml:space="preserve">Redline:</w:t>
      </w:r>
      <w:r>
        <w:t xml:space="preserve"> </w:t>
      </w:r>
      <w:r>
        <w:t xml:space="preserve">Delete MFN provision entirely</w:t>
      </w:r>
      <w:r>
        <w:t xml:space="preserve"> </w:t>
      </w:r>
      <w:r>
        <w:t xml:space="preserve">-</w:t>
      </w:r>
      <w:r>
        <w:t xml:space="preserve"> </w:t>
      </w:r>
      <w:r>
        <w:rPr>
          <w:b/>
          <w:bCs/>
        </w:rPr>
        <w:t xml:space="preserve">Justification:</w:t>
      </w:r>
      <w:r>
        <w:t xml:space="preserve"> </w:t>
      </w:r>
      <w:r>
        <w:t xml:space="preserve">Significantly limits borrower’s refinancing flexibility; uncommon in bilateral middle-market facilities</w:t>
      </w:r>
      <w:r>
        <w:t xml:space="preserve"> </w:t>
      </w:r>
      <w:r>
        <w:t xml:space="preserve">-</w:t>
      </w:r>
      <w:r>
        <w:t xml:space="preserve"> </w:t>
      </w:r>
      <w:r>
        <w:rPr>
          <w:b/>
          <w:bCs/>
        </w:rPr>
        <w:t xml:space="preserve">Alternative:</w:t>
      </w:r>
      <w:r>
        <w:t xml:space="preserve"> </w:t>
      </w:r>
      <w:r>
        <w:t xml:space="preserve">If lender insists, increase threshold to 1.00% (100 bps) and limit to term loans only</w:t>
      </w:r>
    </w:p>
    <w:p>
      <w:pPr>
        <w:pStyle w:val="BodyText"/>
      </w:pPr>
      <w:r>
        <w:rPr>
          <w:b/>
          <w:bCs/>
        </w:rPr>
        <w:t xml:space="preserve">Capital Expenditures Limitation:</w:t>
      </w:r>
      <w:r>
        <w:t xml:space="preserve"> </w:t>
      </w:r>
      <w:r>
        <w:t xml:space="preserve">-</w:t>
      </w:r>
      <w:r>
        <w:t xml:space="preserve"> </w:t>
      </w:r>
      <w:r>
        <w:rPr>
          <w:b/>
          <w:bCs/>
        </w:rPr>
        <w:t xml:space="preserve">Redline:</w:t>
      </w:r>
      <w:r>
        <w:t xml:space="preserve"> </w:t>
      </w:r>
      <w:r>
        <w:t xml:space="preserve">Increase annual CAPEX limit to $40,000,000</w:t>
      </w:r>
      <w:r>
        <w:t xml:space="preserve"> </w:t>
      </w:r>
      <w:r>
        <w:t xml:space="preserve">-</w:t>
      </w:r>
      <w:r>
        <w:t xml:space="preserve"> </w:t>
      </w:r>
      <w:r>
        <w:rPr>
          <w:b/>
          <w:bCs/>
        </w:rPr>
        <w:t xml:space="preserve">Justification:</w:t>
      </w:r>
      <w:r>
        <w:t xml:space="preserve"> </w:t>
      </w:r>
      <w:r>
        <w:t xml:space="preserve">Aligns with projected capital needs for infrastructure maintenance business</w:t>
      </w:r>
      <w:r>
        <w:t xml:space="preserve"> </w:t>
      </w:r>
      <w:r>
        <w:t xml:space="preserve">-</w:t>
      </w:r>
      <w:r>
        <w:t xml:space="preserve"> </w:t>
      </w:r>
      <w:r>
        <w:rPr>
          <w:b/>
          <w:bCs/>
        </w:rPr>
        <w:t xml:space="preserve">Alternative:</w:t>
      </w:r>
      <w:r>
        <w:t xml:space="preserve"> </w:t>
      </w:r>
      <w:r>
        <w:t xml:space="preserve">Remove carry-forward provision and increase limit to $35,000,000</w:t>
      </w:r>
    </w:p>
    <w:p>
      <w:pPr>
        <w:pStyle w:val="Heading3"/>
      </w:pPr>
      <w:bookmarkStart w:id="41" w:name="_ec4b32afaae5ae627a2376a26ce383ce2600d3c"/>
      <w:r>
        <w:t xml:space="preserve">7.4 Upfront Fee</w:t>
      </w:r>
      <w:bookmarkEnd w:id="41"/>
    </w:p>
    <w:p>
      <w:pPr>
        <w:pStyle w:val="FirstParagraph"/>
      </w:pPr>
      <w:r>
        <w:rPr>
          <w:b/>
          <w:bCs/>
        </w:rPr>
        <w:t xml:space="preserve">Redline:</w:t>
      </w:r>
      <w:r>
        <w:t xml:space="preserve"> </w:t>
      </w:r>
      <w:r>
        <w:t xml:space="preserve">Reduce upfront fee to 0.25% ($437,500)</w:t>
      </w:r>
      <w:r>
        <w:t xml:space="preserve"> </w:t>
      </w:r>
      <w:r>
        <w:t xml:space="preserve">-</w:t>
      </w:r>
      <w:r>
        <w:t xml:space="preserve"> </w:t>
      </w:r>
      <w:r>
        <w:rPr>
          <w:b/>
          <w:bCs/>
        </w:rPr>
        <w:t xml:space="preserve">Justification:</w:t>
      </w:r>
      <w:r>
        <w:t xml:space="preserve"> </w:t>
      </w:r>
      <w:r>
        <w:t xml:space="preserve">Original term sheet had no upfront fee; 0.25% represents reasonable compromise for documentation and structuring costs</w:t>
      </w:r>
      <w:r>
        <w:t xml:space="preserve"> </w:t>
      </w:r>
      <w:r>
        <w:t xml:space="preserve">-</w:t>
      </w:r>
      <w:r>
        <w:t xml:space="preserve"> </w:t>
      </w:r>
      <w:r>
        <w:rPr>
          <w:b/>
          <w:bCs/>
        </w:rPr>
        <w:t xml:space="preserve">Alternative:</w:t>
      </w:r>
      <w:r>
        <w:t xml:space="preserve"> </w:t>
      </w:r>
      <w:r>
        <w:t xml:space="preserve">Waive upfront fee in exchange for maintaining other favorable terms</w:t>
      </w:r>
    </w:p>
    <w:p>
      <w:pPr>
        <w:pStyle w:val="Heading2"/>
      </w:pPr>
      <w:bookmarkStart w:id="42" w:name="_conclusion"/>
      <w:r>
        <w:t xml:space="preserve">8. Conclusion</w:t>
      </w:r>
      <w:bookmarkEnd w:id="42"/>
    </w:p>
    <w:p>
      <w:pPr>
        <w:pStyle w:val="FirstParagraph"/>
      </w:pPr>
      <w:r>
        <w:t xml:space="preserve">The lender’s markup represents a material deviation from the original term sheet across multiple dimensions:</w:t>
      </w:r>
    </w:p>
    <w:p>
      <w:pPr>
        <w:pStyle w:val="Compact"/>
        <w:numPr>
          <w:ilvl w:val="0"/>
          <w:numId w:val="1002"/>
        </w:numPr>
      </w:pPr>
      <w:r>
        <w:rPr>
          <w:b/>
          <w:bCs/>
        </w:rPr>
        <w:t xml:space="preserve">Pricing Increases:</w:t>
      </w:r>
      <w:r>
        <w:t xml:space="preserve"> </w:t>
      </w:r>
      <w:r>
        <w:t xml:space="preserve">Uniform 25 bps increase in Applicable Margin across all leverage tiers, plus introduction of 75 bps SOFR floor</w:t>
      </w:r>
    </w:p>
    <w:p>
      <w:pPr>
        <w:pStyle w:val="Compact"/>
        <w:numPr>
          <w:ilvl w:val="0"/>
          <w:numId w:val="1002"/>
        </w:numPr>
      </w:pPr>
      <w:r>
        <w:rPr>
          <w:b/>
          <w:bCs/>
        </w:rPr>
        <w:t xml:space="preserve">Cost Impact:</w:t>
      </w:r>
      <w:r>
        <w:t xml:space="preserve"> </w:t>
      </w:r>
      <w:r>
        <w:t xml:space="preserve">Projected increase of $2.564 million in financing costs over the projection period</w:t>
      </w:r>
    </w:p>
    <w:p>
      <w:pPr>
        <w:pStyle w:val="Compact"/>
        <w:numPr>
          <w:ilvl w:val="0"/>
          <w:numId w:val="1002"/>
        </w:numPr>
      </w:pPr>
      <w:r>
        <w:rPr>
          <w:b/>
          <w:bCs/>
        </w:rPr>
        <w:t xml:space="preserve">Structural Changes:</w:t>
      </w:r>
      <w:r>
        <w:t xml:space="preserve"> </w:t>
      </w:r>
      <w:r>
        <w:t xml:space="preserve">Removal of extension options, restriction of margin adjustment mechanics, introduction of UPF and MFN provisions</w:t>
      </w:r>
    </w:p>
    <w:p>
      <w:pPr>
        <w:pStyle w:val="Compact"/>
        <w:numPr>
          <w:ilvl w:val="0"/>
          <w:numId w:val="1002"/>
        </w:numPr>
      </w:pPr>
      <w:r>
        <w:rPr>
          <w:b/>
          <w:bCs/>
        </w:rPr>
        <w:t xml:space="preserve">Market Deviations:</w:t>
      </w:r>
      <w:r>
        <w:t xml:space="preserve"> </w:t>
      </w:r>
      <w:r>
        <w:t xml:space="preserve">Several terms exceed playbook guidance and market standards for middle-market revolving facilities</w:t>
      </w:r>
    </w:p>
    <w:p>
      <w:pPr>
        <w:pStyle w:val="FirstParagraph"/>
      </w:pPr>
      <w:r>
        <w:rPr>
          <w:b/>
          <w:bCs/>
        </w:rPr>
        <w:t xml:space="preserve">Primary Concerns:</w:t>
      </w:r>
      <w:r>
        <w:t xml:space="preserve"> </w:t>
      </w:r>
      <w:r>
        <w:t xml:space="preserve">- The combined effect of SOFR floor and increased margin grid creates significant interest rate risk</w:t>
      </w:r>
      <w:r>
        <w:t xml:space="preserve"> </w:t>
      </w:r>
      <w:r>
        <w:t xml:space="preserve">- Removal of extension options reduces term flexibility critical for infrastructure businesses</w:t>
      </w:r>
      <w:r>
        <w:t xml:space="preserve"> </w:t>
      </w:r>
      <w:r>
        <w:t xml:space="preserve">- Annual downward adjustment restriction limits borrower’s ability to benefit from performance</w:t>
      </w:r>
      <w:r>
        <w:t xml:space="preserve"> </w:t>
      </w:r>
      <w:r>
        <w:t xml:space="preserve">- MFN provision excessively restricts refinancing options</w:t>
      </w:r>
    </w:p>
    <w:p>
      <w:pPr>
        <w:pStyle w:val="BodyText"/>
      </w:pPr>
      <w:r>
        <w:rPr>
          <w:b/>
          <w:bCs/>
        </w:rPr>
        <w:t xml:space="preserve">Recommended Strategy:</w:t>
      </w:r>
      <w:r>
        <w:t xml:space="preserve"> </w:t>
      </w:r>
      <w:r>
        <w:t xml:space="preserve">- Push for SOFR floor reduction to 0.20% range as per playbook guidance</w:t>
      </w:r>
      <w:r>
        <w:t xml:space="preserve"> </w:t>
      </w:r>
      <w:r>
        <w:t xml:space="preserve">- Seek reversion to original Applicable Margin grid or equivalent concession elsewhere</w:t>
      </w:r>
      <w:r>
        <w:t xml:space="preserve"> </w:t>
      </w:r>
      <w:r>
        <w:t xml:space="preserve">- Restore at least one extension option with reasonable fee</w:t>
      </w:r>
      <w:r>
        <w:t xml:space="preserve"> </w:t>
      </w:r>
      <w:r>
        <w:t xml:space="preserve">- Revert to quarterly bidirectional margin adjustments</w:t>
      </w:r>
      <w:r>
        <w:t xml:space="preserve"> </w:t>
      </w:r>
      <w:r>
        <w:t xml:space="preserve">- Consider accepting grid-based commitment fee as market standard</w:t>
      </w:r>
      <w:r>
        <w:t xml:space="preserve"> </w:t>
      </w:r>
      <w:r>
        <w:t xml:space="preserve">- Negotiate removal or significant limitation of MFN and CAPEX provisions</w:t>
      </w:r>
    </w:p>
    <w:p>
      <w:pPr>
        <w:pStyle w:val="BodyText"/>
      </w:pPr>
      <w:r>
        <w:t xml:space="preserve">The markup, while containing some market-standard elements (grid-based commitment fee), overall represents an aggressive pricing and structuring position that requires meaningful concessions to achieve a balanced, market-appropriate facility for Ridgeline Infrastructure Holdings, LLC.</w:t>
      </w:r>
    </w:p>
    <w:p>
      <w:r>
        <w:pict>
          <v:rect style="width:0;height:1.5pt" o:hralign="center" o:hrstd="t" o:hr="t"/>
        </w:pict>
      </w:r>
    </w:p>
    <w:p>
      <w:pPr>
        <w:pStyle w:val="FirstParagraph"/>
      </w:pPr>
      <w:r>
        <w:rPr>
          <w:i/>
          <w:iCs/>
        </w:rPr>
        <w:t xml:space="preserve">Prepared for: Ridgeline Infrastructure Holdings, LLC</w:t>
      </w:r>
      <w:r>
        <w:t xml:space="preserve"> </w:t>
      </w:r>
      <w:r>
        <w:rPr>
          <w:i/>
          <w:iCs/>
        </w:rPr>
        <w:t xml:space="preserve">Analysis Date: Based on documents dated November 4, 2024 (original) and November 22, 2024 (markup)</w:t>
      </w:r>
      <w:r>
        <w:t xml:space="preserve"> </w:t>
      </w:r>
      <w:r>
        <w:rPr>
          <w:i/>
          <w:iCs/>
        </w:rPr>
        <w:t xml:space="preserve">Financial Projections Source: ridgeline-financial-summary.xlsx</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2026-10-19T22:57:15Z</dcterms:created>
  <dcterms:modified xsi:type="dcterms:W3CDTF">2026-10-19T22:57:15Z</dcterms:modified>
</cp:coreProperties>
</file>

<file path=docProps/custom.xml><?xml version="1.0" encoding="utf-8"?>
<Properties xmlns="http://schemas.openxmlformats.org/officeDocument/2006/custom-properties" xmlns:vt="http://schemas.openxmlformats.org/officeDocument/2006/docPropsVTypes"/>
</file>