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801b1e5c883a69c5f8be9ff90eec73e1913c45"/>
      <w:r>
        <w:t xml:space="preserve">Counterparty Markup Analysis of Stock Purchase Agreement — Markup Deviation Report</w:t>
      </w:r>
      <w:bookmarkEnd w:id="9"/>
    </w:p>
    <w:p>
      <w:pPr>
        <w:pStyle w:val="Heading2"/>
      </w:pPr>
      <w:bookmarkStart w:id="10" w:name="_24178e17815d7ed05207769f6e2fdf5de730a75"/>
      <w:r>
        <w:t xml:space="preserve">Executive Summary</w:t>
      </w:r>
      <w:bookmarkEnd w:id="10"/>
    </w:p>
    <w:p>
      <w:pPr>
        <w:pStyle w:val="FirstParagraph"/>
      </w:pPr>
      <w:r>
        <w:t xml:space="preserve">This report analyzes the seller’s markup (seller-markup-spa.docx) against our original SPA draft (original-spa-draft.docx) in accordance with the buyer-negotiation-playbook.docx. The seller’s markup proposes significant structural changes to the consideration framework, including replacing the indemnification holdback with deferred consideration payments and introducing a $10 million earnout tied to FY2026 Net Revenue of $72 million. While the aggregate equity value remains $127.5 million, these changes materially alter risk allocation, payment timing, and post-closing obligations. Key deviations include: (1) reduction of closing cash from $112 million to $102 million; (2) replacement of $15.5 million escrow holdback with two $7.75 million deferred payments at 12 and 24 months; (3) introduction of $10 million earnout contingent on achieving $72 million Net Revenue in FY2026; (4) widening of NWC collar from $200,000 to $500,000; (5) elimination of setoff rights against deferred consideration; and (6) changes to dispute resolution, restrictive covenants, and tax provisions. The markup increases seller protection at buyer’s expense, particularly regarding indemnification security and working capital adjustments. Recommendations include rejecting the earnout structure, maintaining the escrow holdback with setoff rights, preserving the $200,000 NWC collar, and resisting changes to dispute resolution and restrictive covenants that weaken buyer protections.</w:t>
      </w:r>
    </w:p>
    <w:p>
      <w:pPr>
        <w:pStyle w:val="Heading2"/>
      </w:pPr>
      <w:bookmarkStart w:id="11" w:name="_6410a8cdbe1dd87995a13ef835bbb457b160dc6"/>
      <w:r>
        <w:t xml:space="preserve">1. Consideration Structure Analysis</w:t>
      </w:r>
      <w:bookmarkEnd w:id="11"/>
    </w:p>
    <w:p>
      <w:pPr>
        <w:pStyle w:val="Heading3"/>
      </w:pPr>
      <w:bookmarkStart w:id="12" w:name="_2f0b4a5f9efea2993a62f4f7086ccea1e1923a3"/>
      <w:r>
        <w:t xml:space="preserve">1.1 Original SPA Draft Consideration Structure</w:t>
      </w:r>
      <w:bookmarkEnd w:id="12"/>
    </w:p>
    <w:p>
      <w:pPr>
        <w:pStyle w:val="Compact"/>
        <w:numPr>
          <w:ilvl w:val="0"/>
          <w:numId w:val="1001"/>
        </w:numPr>
      </w:pPr>
      <w:r>
        <w:rPr>
          <w:b/>
          <w:bCs/>
        </w:rPr>
        <w:t xml:space="preserve">Closing Cash Payment</w:t>
      </w:r>
      <w:r>
        <w:t xml:space="preserve">: $112,000,000 (Section 2.5(a)(i) of original-spa-draft.docx)</w:t>
      </w:r>
    </w:p>
    <w:p>
      <w:pPr>
        <w:pStyle w:val="Compact"/>
        <w:numPr>
          <w:ilvl w:val="0"/>
          <w:numId w:val="1001"/>
        </w:numPr>
      </w:pPr>
      <w:r>
        <w:rPr>
          <w:b/>
          <w:bCs/>
        </w:rPr>
        <w:t xml:space="preserve">Indemnification Holdback/Escrow</w:t>
      </w:r>
      <w:r>
        <w:t xml:space="preserve">: $15,500,000 (Section 2.3(b) of original-spa-draft.docx)</w:t>
      </w:r>
    </w:p>
    <w:p>
      <w:pPr>
        <w:pStyle w:val="Compact"/>
        <w:numPr>
          <w:ilvl w:val="0"/>
          <w:numId w:val="1001"/>
        </w:numPr>
      </w:pPr>
      <w:r>
        <w:rPr>
          <w:b/>
          <w:bCs/>
        </w:rPr>
        <w:t xml:space="preserve">Total Equity Value</w:t>
      </w:r>
      <w:r>
        <w:t xml:space="preserve">: $127,500,000 ($112,000,000 + $15,500,000)</w:t>
      </w:r>
    </w:p>
    <w:p>
      <w:pPr>
        <w:pStyle w:val="Compact"/>
        <w:numPr>
          <w:ilvl w:val="0"/>
          <w:numId w:val="1001"/>
        </w:numPr>
      </w:pPr>
      <w:r>
        <w:rPr>
          <w:b/>
          <w:bCs/>
        </w:rPr>
        <w:t xml:space="preserve">Net Debt</w:t>
      </w:r>
      <w:r>
        <w:t xml:space="preserve">: $10,500,000 ($14,300,000 term loan + $1,200,000 capital lease - $5,000,000 closing cash)</w:t>
      </w:r>
    </w:p>
    <w:p>
      <w:pPr>
        <w:pStyle w:val="Compact"/>
        <w:numPr>
          <w:ilvl w:val="0"/>
          <w:numId w:val="1001"/>
        </w:numPr>
      </w:pPr>
      <w:r>
        <w:rPr>
          <w:b/>
          <w:bCs/>
        </w:rPr>
        <w:t xml:space="preserve">Enterprise Value</w:t>
      </w:r>
      <w:r>
        <w:t xml:space="preserve">: $138,000,000 (Equity Value + Net Debt)</w:t>
      </w:r>
    </w:p>
    <w:p>
      <w:pPr>
        <w:pStyle w:val="Heading3"/>
      </w:pPr>
      <w:bookmarkStart w:id="13" w:name="_674ec9f475126c390920ac521785514da6f2c93"/>
      <w:r>
        <w:t xml:space="preserve">1.2 Seller’s Markup Consideration Structure</w:t>
      </w:r>
      <w:bookmarkEnd w:id="13"/>
    </w:p>
    <w:p>
      <w:pPr>
        <w:pStyle w:val="Compact"/>
        <w:numPr>
          <w:ilvl w:val="0"/>
          <w:numId w:val="1002"/>
        </w:numPr>
      </w:pPr>
      <w:r>
        <w:rPr>
          <w:b/>
          <w:bCs/>
        </w:rPr>
        <w:t xml:space="preserve">Closing Cash Consideration</w:t>
      </w:r>
      <w:r>
        <w:t xml:space="preserve">: $102,000,000 (Section 2.6(a) of seller-markup-spa.docx)</w:t>
      </w:r>
    </w:p>
    <w:p>
      <w:pPr>
        <w:pStyle w:val="Compact"/>
        <w:numPr>
          <w:ilvl w:val="0"/>
          <w:numId w:val="1002"/>
        </w:numPr>
      </w:pPr>
      <w:r>
        <w:rPr>
          <w:b/>
          <w:bCs/>
        </w:rPr>
        <w:t xml:space="preserve">Deferred Consideration</w:t>
      </w:r>
      <w:r>
        <w:t xml:space="preserve">: $15,500,000 (payable in two $7,750,000 installments at 12 and 24 months post-closing) (Sections 2.7(a)(i)-(ii) of seller-markup-spa.docx)</w:t>
      </w:r>
    </w:p>
    <w:p>
      <w:pPr>
        <w:pStyle w:val="Compact"/>
        <w:numPr>
          <w:ilvl w:val="0"/>
          <w:numId w:val="1002"/>
        </w:numPr>
      </w:pPr>
      <w:r>
        <w:rPr>
          <w:b/>
          <w:bCs/>
        </w:rPr>
        <w:t xml:space="preserve">Earnout Amount</w:t>
      </w:r>
      <w:r>
        <w:t xml:space="preserve">: up to $10,000,000 (contingent on achieving $72,000,000 Net Revenue in FY2026) (Sections 2.8(a) and 2.8(d) of seller-markup-spa.docx)</w:t>
      </w:r>
    </w:p>
    <w:p>
      <w:pPr>
        <w:pStyle w:val="Compact"/>
        <w:numPr>
          <w:ilvl w:val="0"/>
          <w:numId w:val="1002"/>
        </w:numPr>
      </w:pPr>
      <w:r>
        <w:rPr>
          <w:b/>
          <w:bCs/>
        </w:rPr>
        <w:t xml:space="preserve">Total Potential Equity Value</w:t>
      </w:r>
      <w:r>
        <w:t xml:space="preserve">: $127,500,000 ($102,000,000 + $15,500,000 + $10,000,000)</w:t>
      </w:r>
    </w:p>
    <w:p>
      <w:pPr>
        <w:pStyle w:val="Compact"/>
        <w:numPr>
          <w:ilvl w:val="0"/>
          <w:numId w:val="1002"/>
        </w:numPr>
      </w:pPr>
      <w:r>
        <w:rPr>
          <w:b/>
          <w:bCs/>
        </w:rPr>
        <w:t xml:space="preserve">Net Debt</w:t>
      </w:r>
      <w:r>
        <w:t xml:space="preserve">: $10,500,000 (unchanged, per Section 2.3(c) definition)</w:t>
      </w:r>
    </w:p>
    <w:p>
      <w:pPr>
        <w:pStyle w:val="Compact"/>
        <w:numPr>
          <w:ilvl w:val="0"/>
          <w:numId w:val="1002"/>
        </w:numPr>
      </w:pPr>
      <w:r>
        <w:rPr>
          <w:b/>
          <w:bCs/>
        </w:rPr>
        <w:t xml:space="preserve">Enterprise Value</w:t>
      </w:r>
      <w:r>
        <w:t xml:space="preserve">: $138,000,000 (unchanged)</w:t>
      </w:r>
    </w:p>
    <w:p>
      <w:pPr>
        <w:pStyle w:val="Heading3"/>
      </w:pPr>
      <w:bookmarkStart w:id="14" w:name="_ba2ac6e7d17ea9227cba300643aa62085fc7a71"/>
      <w:r>
        <w:t xml:space="preserve">1.3 Playbook Position on Consideration Structure</w:t>
      </w:r>
      <w:bookmarkEnd w:id="14"/>
    </w:p>
    <w:p>
      <w:pPr>
        <w:pStyle w:val="Compact"/>
        <w:numPr>
          <w:ilvl w:val="0"/>
          <w:numId w:val="1003"/>
        </w:numPr>
      </w:pPr>
      <w:r>
        <w:rPr>
          <w:b/>
          <w:bCs/>
        </w:rPr>
        <w:t xml:space="preserve">Must-Have</w:t>
      </w:r>
      <w:r>
        <w:t xml:space="preserve">: Total equity consideration of $127,500,000 structured as fixed cash consideration (Section 2.1 of buyer-negotiation-playbook.docx)</w:t>
      </w:r>
    </w:p>
    <w:p>
      <w:pPr>
        <w:pStyle w:val="Compact"/>
        <w:numPr>
          <w:ilvl w:val="0"/>
          <w:numId w:val="1003"/>
        </w:numPr>
      </w:pPr>
      <w:r>
        <w:rPr>
          <w:b/>
          <w:bCs/>
        </w:rPr>
        <w:t xml:space="preserve">Earnout Position</w:t>
      </w:r>
      <w:r>
        <w:t xml:space="preserve">: Earnouts are strongly disfavored; any earnout requires deal partner approval from Claire Westbrook (Section 2.1 of buyer-negotiation-playbook.docx)</w:t>
      </w:r>
    </w:p>
    <w:p>
      <w:pPr>
        <w:pStyle w:val="Compact"/>
        <w:numPr>
          <w:ilvl w:val="0"/>
          <w:numId w:val="1003"/>
        </w:numPr>
      </w:pPr>
      <w:r>
        <w:rPr>
          <w:b/>
          <w:bCs/>
        </w:rPr>
        <w:t xml:space="preserve">Earnout Guardrails</w:t>
      </w:r>
      <w:r>
        <w:t xml:space="preserve"> </w:t>
      </w:r>
      <w:r>
        <w:t xml:space="preserve">(if seriously considered):</w:t>
      </w:r>
    </w:p>
    <w:p>
      <w:pPr>
        <w:pStyle w:val="Compact"/>
        <w:numPr>
          <w:ilvl w:val="1"/>
          <w:numId w:val="1004"/>
        </w:numPr>
      </w:pPr>
      <w:r>
        <w:t xml:space="preserve">Earnout should not exceed 5% of equity value ($6,375,000)</w:t>
      </w:r>
    </w:p>
    <w:p>
      <w:pPr>
        <w:pStyle w:val="Compact"/>
        <w:numPr>
          <w:ilvl w:val="1"/>
          <w:numId w:val="1004"/>
        </w:numPr>
      </w:pPr>
      <w:r>
        <w:t xml:space="preserve">Measurement period should not extend beyond 12 months post-closing</w:t>
      </w:r>
    </w:p>
    <w:p>
      <w:pPr>
        <w:pStyle w:val="Compact"/>
        <w:numPr>
          <w:ilvl w:val="1"/>
          <w:numId w:val="1004"/>
        </w:numPr>
      </w:pPr>
      <w:r>
        <w:t xml:space="preserve">No</w:t>
      </w:r>
      <w:r>
        <w:t xml:space="preserve"> </w:t>
      </w:r>
      <w:r>
        <w:t xml:space="preserve">“commercially reasonable efforts”</w:t>
      </w:r>
      <w:r>
        <w:t xml:space="preserve"> </w:t>
      </w:r>
      <w:r>
        <w:t xml:space="preserve">or similar operational covenants</w:t>
      </w:r>
    </w:p>
    <w:p>
      <w:pPr>
        <w:pStyle w:val="Compact"/>
        <w:numPr>
          <w:ilvl w:val="1"/>
          <w:numId w:val="1004"/>
        </w:numPr>
      </w:pPr>
      <w:r>
        <w:t xml:space="preserve">No requirement to maintain separate books or operations</w:t>
      </w:r>
    </w:p>
    <w:p>
      <w:pPr>
        <w:pStyle w:val="Compact"/>
        <w:numPr>
          <w:ilvl w:val="1"/>
          <w:numId w:val="1004"/>
        </w:numPr>
      </w:pPr>
      <w:r>
        <w:t xml:space="preserve">Metrics must be objective, clearly defined, and GAAP-consistent</w:t>
      </w:r>
    </w:p>
    <w:p>
      <w:pPr>
        <w:pStyle w:val="Compact"/>
        <w:numPr>
          <w:ilvl w:val="1"/>
          <w:numId w:val="1004"/>
        </w:numPr>
      </w:pPr>
      <w:r>
        <w:t xml:space="preserve">Buyer must retain sole discretion over Target’s operations</w:t>
      </w:r>
    </w:p>
    <w:p>
      <w:pPr>
        <w:pStyle w:val="Heading3"/>
      </w:pPr>
      <w:bookmarkStart w:id="15" w:name="_ab7dcf476f6b404c951035a71f24b6ca0197979"/>
      <w:r>
        <w:t xml:space="preserve">1.4 Deviation Analysis</w:t>
      </w:r>
      <w:bookmarkEnd w:id="15"/>
    </w:p>
    <w:p>
      <w:pPr>
        <w:pStyle w:val="Compact"/>
        <w:numPr>
          <w:ilvl w:val="0"/>
          <w:numId w:val="1005"/>
        </w:numPr>
      </w:pPr>
      <w:r>
        <w:rPr>
          <w:b/>
          <w:bCs/>
        </w:rPr>
        <w:t xml:space="preserve">Closing Cash Reduction</w:t>
      </w:r>
      <w:r>
        <w:t xml:space="preserve">: Seller reduces closing cash by $10,000,000 (from $112,000,000 to $102,000,000), increasing buyer’s funding risk at closing.</w:t>
      </w:r>
    </w:p>
    <w:p>
      <w:pPr>
        <w:pStyle w:val="Compact"/>
        <w:numPr>
          <w:ilvl w:val="0"/>
          <w:numId w:val="1005"/>
        </w:numPr>
      </w:pPr>
      <w:r>
        <w:rPr>
          <w:b/>
          <w:bCs/>
        </w:rPr>
        <w:t xml:space="preserve">Holdback to Deferred Consideration Conversion</w:t>
      </w:r>
      <w:r>
        <w:t xml:space="preserve">: Seller replaces the $15,500,000 indemnification holdback (with setoff rights) with deferred consideration payments (without setoff rights), eliminating buyer’s primary security for indemnification claims.</w:t>
      </w:r>
    </w:p>
    <w:p>
      <w:pPr>
        <w:pStyle w:val="Compact"/>
        <w:numPr>
          <w:ilvl w:val="0"/>
          <w:numId w:val="1005"/>
        </w:numPr>
      </w:pPr>
      <w:r>
        <w:rPr>
          <w:b/>
          <w:bCs/>
        </w:rPr>
        <w:t xml:space="preserve">Earnout Introduction</w:t>
      </w:r>
      <w:r>
        <w:t xml:space="preserve">: Seller introduces a $10,000,000 earnout (78% above the 5% playbook limit) tied to FY2026 Net Revenue of $72,000,000.</w:t>
      </w:r>
    </w:p>
    <w:p>
      <w:pPr>
        <w:pStyle w:val="Compact"/>
        <w:numPr>
          <w:ilvl w:val="0"/>
          <w:numId w:val="1005"/>
        </w:numPr>
      </w:pPr>
      <w:r>
        <w:rPr>
          <w:b/>
          <w:bCs/>
        </w:rPr>
        <w:t xml:space="preserve">Earnout Protections</w:t>
      </w:r>
      <w:r>
        <w:t xml:space="preserve">: Seller’s earnout includes commercially reasonable efforts covenant (Section 2.8(d)) and separate books requirement through December 31, 2027 (Section 2.8(e)), both prohibited by playbook.</w:t>
      </w:r>
    </w:p>
    <w:p>
      <w:pPr>
        <w:pStyle w:val="Compact"/>
        <w:numPr>
          <w:ilvl w:val="0"/>
          <w:numId w:val="1005"/>
        </w:numPr>
      </w:pPr>
      <w:r>
        <w:rPr>
          <w:b/>
          <w:bCs/>
        </w:rPr>
        <w:t xml:space="preserve">Aggregate Value Preservation</w:t>
      </w:r>
      <w:r>
        <w:t xml:space="preserve">: While total potential consideration remains $127,500,000, the structure shifts risk from seller to buyer through delayed payments and performance contingencies.</w:t>
      </w:r>
    </w:p>
    <w:p>
      <w:pPr>
        <w:pStyle w:val="Heading3"/>
      </w:pPr>
      <w:bookmarkStart w:id="16" w:name="_recommendations"/>
      <w:r>
        <w:t xml:space="preserve">1.5 Recommendations</w:t>
      </w:r>
      <w:bookmarkEnd w:id="16"/>
    </w:p>
    <w:p>
      <w:pPr>
        <w:pStyle w:val="Compact"/>
        <w:numPr>
          <w:ilvl w:val="0"/>
          <w:numId w:val="1006"/>
        </w:numPr>
      </w:pPr>
      <w:r>
        <w:rPr>
          <w:b/>
          <w:bCs/>
        </w:rPr>
        <w:t xml:space="preserve">Reject Earnout Structure</w:t>
      </w:r>
      <w:r>
        <w:t xml:space="preserve">: The $10,000,000 earnout exceeds the 5% playbook limit ($6,375,000) and includes prohibited operational covenants. If earnout is seriously considered, it must be limited to $6,375,000 with a 12-month measurement period and no operational constraints.</w:t>
      </w:r>
    </w:p>
    <w:p>
      <w:pPr>
        <w:pStyle w:val="Compact"/>
        <w:numPr>
          <w:ilvl w:val="0"/>
          <w:numId w:val="1006"/>
        </w:numPr>
      </w:pPr>
      <w:r>
        <w:rPr>
          <w:b/>
          <w:bCs/>
        </w:rPr>
        <w:t xml:space="preserve">Maintain Escrow Holdback</w:t>
      </w:r>
      <w:r>
        <w:t xml:space="preserve">: Preserve the $15,500,000 indemnification holdback with Continental Escrow Services, Inc. as escrow agent, including setoff rights against undisputed claims (Section 2.3 of buyer-negotiation-playbook.docx).</w:t>
      </w:r>
    </w:p>
    <w:p>
      <w:pPr>
        <w:pStyle w:val="Compact"/>
        <w:numPr>
          <w:ilvl w:val="0"/>
          <w:numId w:val="1006"/>
        </w:numPr>
      </w:pPr>
      <w:r>
        <w:rPr>
          <w:b/>
          <w:bCs/>
        </w:rPr>
        <w:t xml:space="preserve">Reject Deferred Consideration Timing</w:t>
      </w:r>
      <w:r>
        <w:t xml:space="preserve">: Oppose conversion of holdback to deferred consideration without setoff rights, as this eliminates buyer’s primary indemnification security.</w:t>
      </w:r>
    </w:p>
    <w:p>
      <w:pPr>
        <w:pStyle w:val="Compact"/>
        <w:numPr>
          <w:ilvl w:val="0"/>
          <w:numId w:val="1006"/>
        </w:numPr>
      </w:pPr>
      <w:r>
        <w:rPr>
          <w:b/>
          <w:bCs/>
        </w:rPr>
        <w:t xml:space="preserve">Require Full Cash at Closing</w:t>
      </w:r>
      <w:r>
        <w:t xml:space="preserve">: Insist on $112,000,000 closing cash plus $15,500,000 escrow holdback to maintain agreed-upon risk allocation.</w:t>
      </w:r>
    </w:p>
    <w:p>
      <w:pPr>
        <w:pStyle w:val="Heading2"/>
      </w:pPr>
      <w:bookmarkStart w:id="17" w:name="_54e69e5d5af01b82116519631a2f10ad73e642a"/>
      <w:r>
        <w:t xml:space="preserve">2. Net Working Capital (NWC) Adjustment Analysis</w:t>
      </w:r>
      <w:bookmarkEnd w:id="17"/>
    </w:p>
    <w:p>
      <w:pPr>
        <w:pStyle w:val="Heading3"/>
      </w:pPr>
      <w:bookmarkStart w:id="18" w:name="_8789efd7d2458991c3837a8baeb8872249d37f0"/>
      <w:r>
        <w:t xml:space="preserve">2.1 Original SPA Draft NWC Provisions</w:t>
      </w:r>
      <w:bookmarkEnd w:id="18"/>
    </w:p>
    <w:p>
      <w:pPr>
        <w:pStyle w:val="Compact"/>
        <w:numPr>
          <w:ilvl w:val="0"/>
          <w:numId w:val="1007"/>
        </w:numPr>
      </w:pPr>
      <w:r>
        <w:rPr>
          <w:b/>
          <w:bCs/>
        </w:rPr>
        <w:t xml:space="preserve">NWC Target</w:t>
      </w:r>
      <w:r>
        <w:t xml:space="preserve">: $8,400,000 (calculated as $14,700,000 Current Assets - $6,300,000 Current Liabilities) (Section 2.3 of original-spa-draft.docx)</w:t>
      </w:r>
    </w:p>
    <w:p>
      <w:pPr>
        <w:pStyle w:val="Compact"/>
        <w:numPr>
          <w:ilvl w:val="0"/>
          <w:numId w:val="1007"/>
        </w:numPr>
      </w:pPr>
      <w:r>
        <w:rPr>
          <w:b/>
          <w:bCs/>
        </w:rPr>
        <w:t xml:space="preserve">NWC Collar</w:t>
      </w:r>
      <w:r>
        <w:t xml:space="preserve">: $200,000 (2.38% of NWC Target) (Section 2.2.2 of buyer-negotiation-playbook.docx)</w:t>
      </w:r>
    </w:p>
    <w:p>
      <w:pPr>
        <w:pStyle w:val="Compact"/>
        <w:numPr>
          <w:ilvl w:val="0"/>
          <w:numId w:val="1007"/>
        </w:numPr>
      </w:pPr>
      <w:r>
        <w:rPr>
          <w:b/>
          <w:bCs/>
        </w:rPr>
        <w:t xml:space="preserve">Adjustment Mechanism</w:t>
      </w:r>
      <w:r>
        <w:t xml:space="preserve">: Dollar-for-dollar adjustment for deviations outside the collar</w:t>
      </w:r>
    </w:p>
    <w:p>
      <w:pPr>
        <w:pStyle w:val="Compact"/>
        <w:numPr>
          <w:ilvl w:val="0"/>
          <w:numId w:val="1007"/>
        </w:numPr>
      </w:pPr>
      <w:r>
        <w:rPr>
          <w:b/>
          <w:bCs/>
        </w:rPr>
        <w:t xml:space="preserve">NWC Components</w:t>
      </w:r>
      <w:r>
        <w:t xml:space="preserve">:</w:t>
      </w:r>
    </w:p>
    <w:p>
      <w:pPr>
        <w:pStyle w:val="Compact"/>
        <w:numPr>
          <w:ilvl w:val="1"/>
          <w:numId w:val="1008"/>
        </w:numPr>
      </w:pPr>
      <w:r>
        <w:t xml:space="preserve">Current Assets: $5,000,000 cash + $6,800,000 accounts receivable + $2,900,000 prepaid expenses = $14,700,000</w:t>
      </w:r>
    </w:p>
    <w:p>
      <w:pPr>
        <w:pStyle w:val="Compact"/>
        <w:numPr>
          <w:ilvl w:val="1"/>
          <w:numId w:val="1008"/>
        </w:numPr>
      </w:pPr>
      <w:r>
        <w:t xml:space="preserve">Current Liabilities: $3,200,000 accounts payable + $1,800,000 accrued expenses + $1,300,000 deferred revenue = $6,300,000</w:t>
      </w:r>
    </w:p>
    <w:p>
      <w:pPr>
        <w:pStyle w:val="Heading3"/>
      </w:pPr>
      <w:bookmarkStart w:id="19" w:name="_d31ed06c15ccad2564ae32dad16b4215b48dbf3"/>
      <w:r>
        <w:t xml:space="preserve">2.2 Seller’s Markup NWC Provisions</w:t>
      </w:r>
      <w:bookmarkEnd w:id="19"/>
    </w:p>
    <w:p>
      <w:pPr>
        <w:pStyle w:val="Compact"/>
        <w:numPr>
          <w:ilvl w:val="0"/>
          <w:numId w:val="1009"/>
        </w:numPr>
      </w:pPr>
      <w:r>
        <w:rPr>
          <w:b/>
          <w:bCs/>
        </w:rPr>
        <w:t xml:space="preserve">NWC Target</w:t>
      </w:r>
      <w:r>
        <w:t xml:space="preserve">: $8,400,000 (unchanged, per Section 2.5 of seller-markup-spa.docx)</w:t>
      </w:r>
    </w:p>
    <w:p>
      <w:pPr>
        <w:pStyle w:val="Compact"/>
        <w:numPr>
          <w:ilvl w:val="0"/>
          <w:numId w:val="1009"/>
        </w:numPr>
      </w:pPr>
      <w:r>
        <w:rPr>
          <w:b/>
          <w:bCs/>
        </w:rPr>
        <w:t xml:space="preserve">NWC Collar</w:t>
      </w:r>
      <w:r>
        <w:t xml:space="preserve">: $500,000 (5.95% of NWC Target) (Section 2.3(b) of seller-markup-spa.docx)</w:t>
      </w:r>
    </w:p>
    <w:p>
      <w:pPr>
        <w:pStyle w:val="Compact"/>
        <w:numPr>
          <w:ilvl w:val="0"/>
          <w:numId w:val="1009"/>
        </w:numPr>
      </w:pPr>
      <w:r>
        <w:rPr>
          <w:b/>
          <w:bCs/>
        </w:rPr>
        <w:t xml:space="preserve">Adjustment Mechanism</w:t>
      </w:r>
      <w:r>
        <w:t xml:space="preserve">: Dollar-for-dollar adjustment for deviations exceeding $500,000 collar</w:t>
      </w:r>
    </w:p>
    <w:p>
      <w:pPr>
        <w:pStyle w:val="Compact"/>
        <w:numPr>
          <w:ilvl w:val="0"/>
          <w:numId w:val="1009"/>
        </w:numPr>
      </w:pPr>
      <w:r>
        <w:rPr>
          <w:b/>
          <w:bCs/>
        </w:rPr>
        <w:t xml:space="preserve">NWC Components</w:t>
      </w:r>
      <w:r>
        <w:t xml:space="preserve">: Identical to original draft ($14,700,000 Current Assets - $6,300,000 Current Liabilities)</w:t>
      </w:r>
    </w:p>
    <w:p>
      <w:pPr>
        <w:pStyle w:val="Heading3"/>
      </w:pPr>
      <w:bookmarkStart w:id="20" w:name="_ee8f4288e18736fc2686dd676e7ebb9c7c00922"/>
      <w:r>
        <w:t xml:space="preserve">2.3 Playbook Position on NWC Collar</w:t>
      </w:r>
      <w:bookmarkEnd w:id="20"/>
    </w:p>
    <w:p>
      <w:pPr>
        <w:pStyle w:val="Compact"/>
        <w:numPr>
          <w:ilvl w:val="0"/>
          <w:numId w:val="1010"/>
        </w:numPr>
      </w:pPr>
      <w:r>
        <w:rPr>
          <w:b/>
          <w:bCs/>
        </w:rPr>
        <w:t xml:space="preserve">Must-Have</w:t>
      </w:r>
      <w:r>
        <w:t xml:space="preserve">: Dollar-for-dollar purchase price adjustment for deviations from target NWC (Section 2.2 of buyer-negotiation-playbook.docx)</w:t>
      </w:r>
    </w:p>
    <w:p>
      <w:pPr>
        <w:pStyle w:val="Compact"/>
        <w:numPr>
          <w:ilvl w:val="0"/>
          <w:numId w:val="1010"/>
        </w:numPr>
      </w:pPr>
      <w:r>
        <w:rPr>
          <w:b/>
          <w:bCs/>
        </w:rPr>
        <w:t xml:space="preserve">Maximum Acceptable Collar</w:t>
      </w:r>
      <w:r>
        <w:t xml:space="preserve">: 3% of NWC Target ($252,000 on $8,400,000 target)</w:t>
      </w:r>
    </w:p>
    <w:p>
      <w:pPr>
        <w:pStyle w:val="Compact"/>
        <w:numPr>
          <w:ilvl w:val="0"/>
          <w:numId w:val="1010"/>
        </w:numPr>
      </w:pPr>
      <w:r>
        <w:rPr>
          <w:b/>
          <w:bCs/>
        </w:rPr>
        <w:t xml:space="preserve">Strong Preference</w:t>
      </w:r>
      <w:r>
        <w:t xml:space="preserve">: Retain $200,000 collar; can accept up to $252,000 but no higher</w:t>
      </w:r>
    </w:p>
    <w:p>
      <w:pPr>
        <w:pStyle w:val="Compact"/>
        <w:numPr>
          <w:ilvl w:val="0"/>
          <w:numId w:val="1010"/>
        </w:numPr>
      </w:pPr>
      <w:r>
        <w:rPr>
          <w:b/>
          <w:bCs/>
        </w:rPr>
        <w:t xml:space="preserve">Walk-Away Position</w:t>
      </w:r>
      <w:r>
        <w:t xml:space="preserve">: Any proposal to widen collar beyond 3% must be rejected</w:t>
      </w:r>
    </w:p>
    <w:p>
      <w:pPr>
        <w:pStyle w:val="Heading3"/>
      </w:pPr>
      <w:bookmarkStart w:id="21" w:name="_d987750a0d7ea525ea1782facffcbaea800212a"/>
      <w:r>
        <w:t xml:space="preserve">2.4 Deviation Analysis</w:t>
      </w:r>
      <w:bookmarkEnd w:id="21"/>
    </w:p>
    <w:p>
      <w:pPr>
        <w:pStyle w:val="Compact"/>
        <w:numPr>
          <w:ilvl w:val="0"/>
          <w:numId w:val="1011"/>
        </w:numPr>
      </w:pPr>
      <w:r>
        <w:rPr>
          <w:b/>
          <w:bCs/>
        </w:rPr>
        <w:t xml:space="preserve">Collar Widening</w:t>
      </w:r>
      <w:r>
        <w:t xml:space="preserve">: Seller increases NWC collar from $200,000 (2.38%) to $500,000 (5.95%), exceeding the 3% playbook maximum ($252,000) by 98%.</w:t>
      </w:r>
    </w:p>
    <w:p>
      <w:pPr>
        <w:pStyle w:val="Compact"/>
        <w:numPr>
          <w:ilvl w:val="0"/>
          <w:numId w:val="1011"/>
        </w:numPr>
      </w:pPr>
      <w:r>
        <w:rPr>
          <w:b/>
          <w:bCs/>
        </w:rPr>
        <w:t xml:space="preserve">Risk Allocation Shift</w:t>
      </w:r>
      <w:r>
        <w:t xml:space="preserve">: Wider collar increases buyer’s exposure to uncompensated NWC shortfalls. A $400,000 NWC shortfall would be fully absorbed by buyer under seller’s markup (within $500,000 collar) but would trigger $200,000 seller payment under original draft (exceeding $200,000 collar).</w:t>
      </w:r>
    </w:p>
    <w:p>
      <w:pPr>
        <w:pStyle w:val="Compact"/>
        <w:numPr>
          <w:ilvl w:val="0"/>
          <w:numId w:val="1011"/>
        </w:numPr>
      </w:pPr>
      <w:r>
        <w:rPr>
          <w:b/>
          <w:bCs/>
        </w:rPr>
        <w:t xml:space="preserve">Methodology Preservation</w:t>
      </w:r>
      <w:r>
        <w:t xml:space="preserve">: Seller maintains identical NWC calculation methodology and components, preserving the integrity of the adjustment mechanism.</w:t>
      </w:r>
    </w:p>
    <w:p>
      <w:pPr>
        <w:pStyle w:val="Heading3"/>
      </w:pPr>
      <w:bookmarkStart w:id="22" w:name="_4374ec10f913596b42166352774dd7209ac22af"/>
      <w:r>
        <w:t xml:space="preserve">2.5 Recommendations</w:t>
      </w:r>
      <w:bookmarkEnd w:id="22"/>
    </w:p>
    <w:p>
      <w:pPr>
        <w:pStyle w:val="Compact"/>
        <w:numPr>
          <w:ilvl w:val="0"/>
          <w:numId w:val="1012"/>
        </w:numPr>
      </w:pPr>
      <w:r>
        <w:rPr>
          <w:b/>
          <w:bCs/>
        </w:rPr>
        <w:t xml:space="preserve">Reject $500,000 NWC Collar</w:t>
      </w:r>
      <w:r>
        <w:t xml:space="preserve">: Exceeds the 3% playbook maximum ($252,000) by 98%, creating unacceptable risk of uncompensated NWC shortfalls.</w:t>
      </w:r>
    </w:p>
    <w:p>
      <w:pPr>
        <w:pStyle w:val="Compact"/>
        <w:numPr>
          <w:ilvl w:val="0"/>
          <w:numId w:val="1012"/>
        </w:numPr>
      </w:pPr>
      <w:r>
        <w:rPr>
          <w:b/>
          <w:bCs/>
        </w:rPr>
        <w:t xml:space="preserve">Maintain $200,000 Collar</w:t>
      </w:r>
      <w:r>
        <w:t xml:space="preserve">: Original draft collar (2.38%) is within acceptable limits and represents strong preference per playbook.</w:t>
      </w:r>
    </w:p>
    <w:p>
      <w:pPr>
        <w:pStyle w:val="Compact"/>
        <w:numPr>
          <w:ilvl w:val="0"/>
          <w:numId w:val="1012"/>
        </w:numPr>
      </w:pPr>
      <w:r>
        <w:rPr>
          <w:b/>
          <w:bCs/>
        </w:rPr>
        <w:t xml:space="preserve">Alternative Compromise</w:t>
      </w:r>
      <w:r>
        <w:t xml:space="preserve">: If seller insists on wider collar, maximum acceptable is $252,000 (3% of $8,400,000 target).</w:t>
      </w:r>
    </w:p>
    <w:p>
      <w:pPr>
        <w:pStyle w:val="Compact"/>
        <w:numPr>
          <w:ilvl w:val="0"/>
          <w:numId w:val="1012"/>
        </w:numPr>
      </w:pPr>
      <w:r>
        <w:rPr>
          <w:b/>
          <w:bCs/>
        </w:rPr>
        <w:t xml:space="preserve">Preserve Dollar-for-Dollar Adjustment</w:t>
      </w:r>
      <w:r>
        <w:t xml:space="preserve">: Ensure any collar maintains dollar-for-dollar payment mechanism for deviations outside collar.</w:t>
      </w:r>
    </w:p>
    <w:p>
      <w:pPr>
        <w:pStyle w:val="Heading2"/>
      </w:pPr>
      <w:bookmarkStart w:id="23" w:name="_35e17a13339ec8d7f45e5ba0b4d12fca1849d12"/>
      <w:r>
        <w:t xml:space="preserve">3. Indemnification and Holdback/Escrow Analysis</w:t>
      </w:r>
      <w:bookmarkEnd w:id="23"/>
    </w:p>
    <w:p>
      <w:pPr>
        <w:pStyle w:val="Heading3"/>
      </w:pPr>
      <w:bookmarkStart w:id="24" w:name="_a17413451b91f0ef99ca4c34696ab2d6e816a8d"/>
      <w:r>
        <w:t xml:space="preserve">3.1 Original SPA Draft Indemnification Structure</w:t>
      </w:r>
      <w:bookmarkEnd w:id="24"/>
    </w:p>
    <w:p>
      <w:pPr>
        <w:pStyle w:val="Compact"/>
        <w:numPr>
          <w:ilvl w:val="0"/>
          <w:numId w:val="1013"/>
        </w:numPr>
      </w:pPr>
      <w:r>
        <w:rPr>
          <w:b/>
          <w:bCs/>
        </w:rPr>
        <w:t xml:space="preserve">Holdback Amount</w:t>
      </w:r>
      <w:r>
        <w:t xml:space="preserve">: $15,500,000 (Section 2.3(b) of original-spa-draft.docx)</w:t>
      </w:r>
    </w:p>
    <w:p>
      <w:pPr>
        <w:pStyle w:val="Compact"/>
        <w:numPr>
          <w:ilvl w:val="0"/>
          <w:numId w:val="1013"/>
        </w:numPr>
      </w:pPr>
      <w:r>
        <w:rPr>
          <w:b/>
          <w:bCs/>
        </w:rPr>
        <w:t xml:space="preserve">Escrow Agent</w:t>
      </w:r>
      <w:r>
        <w:t xml:space="preserve">: Continental Escrow Services, Inc. (Section 2.3(b) of original-spa-draft.docx)</w:t>
      </w:r>
    </w:p>
    <w:p>
      <w:pPr>
        <w:pStyle w:val="Compact"/>
        <w:numPr>
          <w:ilvl w:val="0"/>
          <w:numId w:val="1013"/>
        </w:numPr>
      </w:pPr>
      <w:r>
        <w:rPr>
          <w:b/>
          <w:bCs/>
        </w:rPr>
        <w:t xml:space="preserve">Escrow Period</w:t>
      </w:r>
      <w:r>
        <w:t xml:space="preserve">: 18 months post-closing (co-terminus with general R&amp;W survival) (Section 2.3(b) of original-spa-draft.docx)</w:t>
      </w:r>
    </w:p>
    <w:p>
      <w:pPr>
        <w:pStyle w:val="Compact"/>
        <w:numPr>
          <w:ilvl w:val="0"/>
          <w:numId w:val="1013"/>
        </w:numPr>
      </w:pPr>
      <w:r>
        <w:rPr>
          <w:b/>
          <w:bCs/>
        </w:rPr>
        <w:t xml:space="preserve">Setoff Rights</w:t>
      </w:r>
      <w:r>
        <w:t xml:space="preserve">: Buyer has right to set off undisputed indemnification claims against holdback funds (Section 2.3 of buyer-negotiation-playbook.docx)</w:t>
      </w:r>
    </w:p>
    <w:p>
      <w:pPr>
        <w:pStyle w:val="Compact"/>
        <w:numPr>
          <w:ilvl w:val="0"/>
          <w:numId w:val="1013"/>
        </w:numPr>
      </w:pPr>
      <w:r>
        <w:rPr>
          <w:b/>
          <w:bCs/>
        </w:rPr>
        <w:t xml:space="preserve">Holdback Purpose</w:t>
      </w:r>
      <w:r>
        <w:t xml:space="preserve">: Primary security for buyer’s indemnification claims; buyer has first recourse to escrow before pursuing direct claims against sellers (Section 2.3 of buyer-negotiation-playbook.docx)</w:t>
      </w:r>
    </w:p>
    <w:p>
      <w:pPr>
        <w:pStyle w:val="Compact"/>
        <w:numPr>
          <w:ilvl w:val="0"/>
          <w:numId w:val="1013"/>
        </w:numPr>
      </w:pPr>
      <w:r>
        <w:rPr>
          <w:b/>
          <w:bCs/>
        </w:rPr>
        <w:t xml:space="preserve">Holdback Justification</w:t>
      </w:r>
      <w:r>
        <w:t xml:space="preserve">: Represents 12.2% of equity value, justified by target’s risk profile (ongoing IRS audit, data security incident history, open-source compliance questions, contractor IP assignment gaps) (Section 2.3 of buyer-negotiation-playbook.docx)</w:t>
      </w:r>
    </w:p>
    <w:p>
      <w:pPr>
        <w:pStyle w:val="Heading3"/>
      </w:pPr>
      <w:bookmarkStart w:id="25" w:name="_404c84ecc1d102d9fc1d20dc05637a6ac0a8222"/>
      <w:r>
        <w:t xml:space="preserve">3.2 Seller’s Markup Indemnification Structure</w:t>
      </w:r>
      <w:bookmarkEnd w:id="25"/>
    </w:p>
    <w:p>
      <w:pPr>
        <w:pStyle w:val="Compact"/>
        <w:numPr>
          <w:ilvl w:val="0"/>
          <w:numId w:val="1014"/>
        </w:numPr>
      </w:pPr>
      <w:r>
        <w:rPr>
          <w:b/>
          <w:bCs/>
        </w:rPr>
        <w:t xml:space="preserve">Holdback/Escrow</w:t>
      </w:r>
      <w:r>
        <w:t xml:space="preserve">: Eliminated entirely (Section 2.7 of seller-markup-spa.docx replaces escrow with deferred consideration)</w:t>
      </w:r>
    </w:p>
    <w:p>
      <w:pPr>
        <w:pStyle w:val="Compact"/>
        <w:numPr>
          <w:ilvl w:val="0"/>
          <w:numId w:val="1014"/>
        </w:numPr>
      </w:pPr>
      <w:r>
        <w:rPr>
          <w:b/>
          <w:bCs/>
        </w:rPr>
        <w:t xml:space="preserve">Deferred Consideration</w:t>
      </w:r>
      <w:r>
        <w:t xml:space="preserve">: $15,500,000 payable in two $7,750,000 installments at 12 and 24 months post-closing (Sections 2.7(a)(i)-(ii) of seller-markup-spa.docx)</w:t>
      </w:r>
    </w:p>
    <w:p>
      <w:pPr>
        <w:pStyle w:val="Compact"/>
        <w:numPr>
          <w:ilvl w:val="0"/>
          <w:numId w:val="1014"/>
        </w:numPr>
      </w:pPr>
      <w:r>
        <w:rPr>
          <w:b/>
          <w:bCs/>
        </w:rPr>
        <w:t xml:space="preserve">Setoff Rights</w:t>
      </w:r>
      <w:r>
        <w:t xml:space="preserve">: Buyer shall not have any right of setoff, counterclaim, or deduction against deferred consideration for any reason, including indemnification claims (Section 2.7(b) of seller-markup-spa.docx)</w:t>
      </w:r>
    </w:p>
    <w:p>
      <w:pPr>
        <w:pStyle w:val="Compact"/>
        <w:numPr>
          <w:ilvl w:val="0"/>
          <w:numId w:val="1014"/>
        </w:numPr>
      </w:pPr>
      <w:r>
        <w:rPr>
          <w:b/>
          <w:bCs/>
        </w:rPr>
        <w:t xml:space="preserve">Payment Mechanism</w:t>
      </w:r>
      <w:r>
        <w:t xml:space="preserve">: Wire transfer to seller-designated accounts (Section 2.7(a) of seller-markup-spa.docx)</w:t>
      </w:r>
    </w:p>
    <w:p>
      <w:pPr>
        <w:pStyle w:val="Compact"/>
        <w:numPr>
          <w:ilvl w:val="0"/>
          <w:numId w:val="1014"/>
        </w:numPr>
      </w:pPr>
      <w:r>
        <w:rPr>
          <w:b/>
          <w:bCs/>
        </w:rPr>
        <w:t xml:space="preserve">Late Payment Interest</w:t>
      </w:r>
      <w:r>
        <w:t xml:space="preserve">: 8% per annum on unpaid deferred consideration (Section 2.8(c) of seller-markup-spa.docx)</w:t>
      </w:r>
    </w:p>
    <w:p>
      <w:pPr>
        <w:pStyle w:val="Heading3"/>
      </w:pPr>
      <w:bookmarkStart w:id="26" w:name="_25fc55fc61f178e15cb59d3d86753b2ced25482"/>
      <w:r>
        <w:t xml:space="preserve">3.3 Playbook Position on Holdback/Escrow</w:t>
      </w:r>
      <w:bookmarkEnd w:id="26"/>
    </w:p>
    <w:p>
      <w:pPr>
        <w:pStyle w:val="Compact"/>
        <w:numPr>
          <w:ilvl w:val="0"/>
          <w:numId w:val="1015"/>
        </w:numPr>
      </w:pPr>
      <w:r>
        <w:rPr>
          <w:b/>
          <w:bCs/>
        </w:rPr>
        <w:t xml:space="preserve">Must-Have</w:t>
      </w:r>
      <w:r>
        <w:t xml:space="preserve">: $15,500,000 indemnification holdback with Continental Escrow Services, Inc. as escrow agent (Section 2.3 of buyer-negotiation-playbook.docx)</w:t>
      </w:r>
    </w:p>
    <w:p>
      <w:pPr>
        <w:pStyle w:val="Compact"/>
        <w:numPr>
          <w:ilvl w:val="0"/>
          <w:numId w:val="1015"/>
        </w:numPr>
      </w:pPr>
      <w:r>
        <w:rPr>
          <w:b/>
          <w:bCs/>
        </w:rPr>
        <w:t xml:space="preserve">Setoff Rights</w:t>
      </w:r>
      <w:r>
        <w:t xml:space="preserve">: Buyer must have right to set off undisputed indemnification claims against holdback funds (Section 2.3 of buyer-negotiation-playbook.docx)</w:t>
      </w:r>
    </w:p>
    <w:p>
      <w:pPr>
        <w:pStyle w:val="Compact"/>
        <w:numPr>
          <w:ilvl w:val="0"/>
          <w:numId w:val="1015"/>
        </w:numPr>
      </w:pPr>
      <w:r>
        <w:rPr>
          <w:b/>
          <w:bCs/>
        </w:rPr>
        <w:t xml:space="preserve">Walk-Away Position</w:t>
      </w:r>
      <w:r>
        <w:t xml:space="preserve">: Holdback structure is a must-have; any attempt to recharacterize as deferred consideration payable on fixed schedule without setoff rights is unacceptable (Section 2.3 of buyer-negotiation-playbook.docx)</w:t>
      </w:r>
    </w:p>
    <w:p>
      <w:pPr>
        <w:pStyle w:val="Compact"/>
        <w:numPr>
          <w:ilvl w:val="0"/>
          <w:numId w:val="1015"/>
        </w:numPr>
      </w:pPr>
      <w:r>
        <w:rPr>
          <w:b/>
          <w:bCs/>
        </w:rPr>
        <w:t xml:space="preserve">Early Release Consideration</w:t>
      </w:r>
      <w:r>
        <w:t xml:space="preserve">: Buyer would consider partial early release (e.g., 50% at 12 months) if no claims pending, but setoff right and escrow structure must remain intact (Section 2.3 of buyer-negotiation-playbook.docx)</w:t>
      </w:r>
    </w:p>
    <w:p>
      <w:pPr>
        <w:pStyle w:val="Heading3"/>
      </w:pPr>
      <w:bookmarkStart w:id="27" w:name="_de23e65deab4335b051579314ff20ac2012a214"/>
      <w:r>
        <w:t xml:space="preserve">3.4 Deviation Analysis</w:t>
      </w:r>
      <w:bookmarkEnd w:id="27"/>
    </w:p>
    <w:p>
      <w:pPr>
        <w:pStyle w:val="Compact"/>
        <w:numPr>
          <w:ilvl w:val="0"/>
          <w:numId w:val="1016"/>
        </w:numPr>
      </w:pPr>
      <w:r>
        <w:rPr>
          <w:b/>
          <w:bCs/>
        </w:rPr>
        <w:t xml:space="preserve">Elimination of Escrow Mechanism</w:t>
      </w:r>
      <w:r>
        <w:t xml:space="preserve">: Seller removes the indemnification holdback/escrow entirely, replacing it with unsecured deferred consideration payments.</w:t>
      </w:r>
    </w:p>
    <w:p>
      <w:pPr>
        <w:pStyle w:val="Compact"/>
        <w:numPr>
          <w:ilvl w:val="0"/>
          <w:numId w:val="1016"/>
        </w:numPr>
      </w:pPr>
      <w:r>
        <w:rPr>
          <w:b/>
          <w:bCs/>
        </w:rPr>
        <w:t xml:space="preserve">Elimination of Setoff Rights</w:t>
      </w:r>
      <w:r>
        <w:t xml:space="preserve">: Seller explicitly eliminates buyer’s right to set off indemnification claims against deferred consideration, removing buyer’s primary enforcement mechanism.</w:t>
      </w:r>
    </w:p>
    <w:p>
      <w:pPr>
        <w:pStyle w:val="Compact"/>
        <w:numPr>
          <w:ilvl w:val="0"/>
          <w:numId w:val="1016"/>
        </w:numPr>
      </w:pPr>
      <w:r>
        <w:rPr>
          <w:b/>
          <w:bCs/>
        </w:rPr>
        <w:t xml:space="preserve">Payment Timing Change</w:t>
      </w:r>
      <w:r>
        <w:t xml:space="preserve">: While total amount and timing ($7.75M at 12 months, $7.75M at 24 months) roughly aligns with 18-month holdback period, the lack of setoff rights fundamentally alters risk allocation.</w:t>
      </w:r>
    </w:p>
    <w:p>
      <w:pPr>
        <w:pStyle w:val="Compact"/>
        <w:numPr>
          <w:ilvl w:val="0"/>
          <w:numId w:val="1016"/>
        </w:numPr>
      </w:pPr>
      <w:r>
        <w:rPr>
          <w:b/>
          <w:bCs/>
        </w:rPr>
        <w:t xml:space="preserve">Interest on Late Payments</w:t>
      </w:r>
      <w:r>
        <w:t xml:space="preserve">: Seller adds 8% interest on late deferred consideration payments, which was not present in original escrow structure.</w:t>
      </w:r>
    </w:p>
    <w:p>
      <w:pPr>
        <w:pStyle w:val="Compact"/>
        <w:numPr>
          <w:ilvl w:val="0"/>
          <w:numId w:val="1016"/>
        </w:numPr>
      </w:pPr>
      <w:r>
        <w:rPr>
          <w:b/>
          <w:bCs/>
        </w:rPr>
        <w:t xml:space="preserve">Administrative Burden Claim</w:t>
      </w:r>
      <w:r>
        <w:t xml:space="preserve">: Seller claims elimination of escrow avoids third-party fees and administrative burden, but this ignores the critical security function of the holdback.</w:t>
      </w:r>
    </w:p>
    <w:p>
      <w:pPr>
        <w:pStyle w:val="Heading3"/>
      </w:pPr>
      <w:bookmarkStart w:id="28" w:name="_8268dacb6c4f7db8e9e6f3a39c3c0668cea1319"/>
      <w:r>
        <w:t xml:space="preserve">3.5 Recommendations</w:t>
      </w:r>
      <w:bookmarkEnd w:id="28"/>
    </w:p>
    <w:p>
      <w:pPr>
        <w:pStyle w:val="Compact"/>
        <w:numPr>
          <w:ilvl w:val="0"/>
          <w:numId w:val="1017"/>
        </w:numPr>
      </w:pPr>
      <w:r>
        <w:rPr>
          <w:b/>
          <w:bCs/>
        </w:rPr>
        <w:t xml:space="preserve">Maintain Escrow Holdback</w:t>
      </w:r>
      <w:r>
        <w:t xml:space="preserve">: Preserve $15,500,000 indemnification holdback with Continental Escrow Services, Inc. as escrow agent.</w:t>
      </w:r>
    </w:p>
    <w:p>
      <w:pPr>
        <w:pStyle w:val="Compact"/>
        <w:numPr>
          <w:ilvl w:val="0"/>
          <w:numId w:val="1017"/>
        </w:numPr>
      </w:pPr>
      <w:r>
        <w:rPr>
          <w:b/>
          <w:bCs/>
        </w:rPr>
        <w:t xml:space="preserve">Preserve Setoff Rights</w:t>
      </w:r>
      <w:r>
        <w:t xml:space="preserve">: Ensure buyer retains right to set off undisputed indemnification claims against holdback funds.</w:t>
      </w:r>
    </w:p>
    <w:p>
      <w:pPr>
        <w:pStyle w:val="Compact"/>
        <w:numPr>
          <w:ilvl w:val="0"/>
          <w:numId w:val="1017"/>
        </w:numPr>
      </w:pPr>
      <w:r>
        <w:rPr>
          <w:b/>
          <w:bCs/>
        </w:rPr>
        <w:t xml:space="preserve">Reject Deferred Consideration Conversion</w:t>
      </w:r>
      <w:r>
        <w:t xml:space="preserve">: Oppose any attempt to recharacterize holdback as deferred consideration without setoff rights.</w:t>
      </w:r>
    </w:p>
    <w:p>
      <w:pPr>
        <w:pStyle w:val="Compact"/>
        <w:numPr>
          <w:ilvl w:val="0"/>
          <w:numId w:val="1017"/>
        </w:numPr>
      </w:pPr>
      <w:r>
        <w:rPr>
          <w:b/>
          <w:bCs/>
        </w:rPr>
        <w:t xml:space="preserve">Consider Limited Early Release</w:t>
      </w:r>
      <w:r>
        <w:t xml:space="preserve">: Evaluate partial early release (e.g., 50% at 12 months) only if no indemnification claims are pending, but maintain escrow structure and setoff rights.</w:t>
      </w:r>
    </w:p>
    <w:p>
      <w:pPr>
        <w:pStyle w:val="Compact"/>
        <w:numPr>
          <w:ilvl w:val="0"/>
          <w:numId w:val="1017"/>
        </w:numPr>
      </w:pPr>
      <w:r>
        <w:rPr>
          <w:b/>
          <w:bCs/>
        </w:rPr>
        <w:t xml:space="preserve">Reject Late Payment Interest</w:t>
      </w:r>
      <w:r>
        <w:t xml:space="preserve">: Oppose addition of 8% interest on deferred consideration, as holdback was non-interest bearing.</w:t>
      </w:r>
    </w:p>
    <w:p>
      <w:pPr>
        <w:pStyle w:val="Heading2"/>
      </w:pPr>
      <w:bookmarkStart w:id="29" w:name="_dbd4a633eb306b6ca2bedce47a94c30d05245b0"/>
      <w:r>
        <w:t xml:space="preserve">4. Earnout Structure Analysis</w:t>
      </w:r>
      <w:bookmarkEnd w:id="29"/>
    </w:p>
    <w:p>
      <w:pPr>
        <w:pStyle w:val="Heading3"/>
      </w:pPr>
      <w:bookmarkStart w:id="30" w:name="_7519af7f41900df43ab95cc6c58f6df59ea966e"/>
      <w:r>
        <w:t xml:space="preserve">4.1 Original SPA Draft Earnout Provisions</w:t>
      </w:r>
      <w:bookmarkEnd w:id="30"/>
    </w:p>
    <w:p>
      <w:pPr>
        <w:pStyle w:val="Compact"/>
        <w:numPr>
          <w:ilvl w:val="0"/>
          <w:numId w:val="1018"/>
        </w:numPr>
      </w:pPr>
      <w:r>
        <w:rPr>
          <w:b/>
          <w:bCs/>
        </w:rPr>
        <w:t xml:space="preserve">No Earnout</w:t>
      </w:r>
      <w:r>
        <w:t xml:space="preserve">: Original draft contains no earnout provisions; consideration is fixed cash plus holdback.</w:t>
      </w:r>
    </w:p>
    <w:p>
      <w:pPr>
        <w:pStyle w:val="Heading3"/>
      </w:pPr>
      <w:bookmarkStart w:id="31" w:name="_3305933d7ec511262b914f8ebb380d5d3e03524"/>
      <w:r>
        <w:t xml:space="preserve">4.2 Seller’s Markup Earnout Provisions</w:t>
      </w:r>
      <w:bookmarkEnd w:id="31"/>
    </w:p>
    <w:p>
      <w:pPr>
        <w:pStyle w:val="Compact"/>
        <w:numPr>
          <w:ilvl w:val="0"/>
          <w:numId w:val="1019"/>
        </w:numPr>
      </w:pPr>
      <w:r>
        <w:rPr>
          <w:b/>
          <w:bCs/>
        </w:rPr>
        <w:t xml:space="preserve">Earnout Amount</w:t>
      </w:r>
      <w:r>
        <w:t xml:space="preserve">: up to $10,000,000 (Section 2.8(a) of seller-markup-spa.docx)</w:t>
      </w:r>
    </w:p>
    <w:p>
      <w:pPr>
        <w:pStyle w:val="Compact"/>
        <w:numPr>
          <w:ilvl w:val="0"/>
          <w:numId w:val="1019"/>
        </w:numPr>
      </w:pPr>
      <w:r>
        <w:rPr>
          <w:b/>
          <w:bCs/>
        </w:rPr>
        <w:t xml:space="preserve">Earnout Period</w:t>
      </w:r>
      <w:r>
        <w:t xml:space="preserve">: Fiscal year ending December 31, 2026 (Section 2.8 of seller-markup-spa.docx)</w:t>
      </w:r>
    </w:p>
    <w:p>
      <w:pPr>
        <w:pStyle w:val="Compact"/>
        <w:numPr>
          <w:ilvl w:val="0"/>
          <w:numId w:val="1019"/>
        </w:numPr>
      </w:pPr>
      <w:r>
        <w:rPr>
          <w:b/>
          <w:bCs/>
        </w:rPr>
        <w:t xml:space="preserve">Earnout Revenue Threshold</w:t>
      </w:r>
      <w:r>
        <w:t xml:space="preserve">: $72,000,000 Net Revenue for earnout period (Section 2.8 of seller-markup-spa.docx)</w:t>
      </w:r>
    </w:p>
    <w:p>
      <w:pPr>
        <w:pStyle w:val="Compact"/>
        <w:numPr>
          <w:ilvl w:val="0"/>
          <w:numId w:val="1019"/>
        </w:numPr>
      </w:pPr>
      <w:r>
        <w:rPr>
          <w:b/>
          <w:bCs/>
        </w:rPr>
        <w:t xml:space="preserve">Earnout Payment</w:t>
      </w:r>
      <w:r>
        <w:t xml:space="preserve">: Payable in cash within 60 days following finalization of audited FY2026 financial statements (Section 2.8(a) of seller-markup-spa.docx)</w:t>
      </w:r>
    </w:p>
    <w:p>
      <w:pPr>
        <w:pStyle w:val="Compact"/>
        <w:numPr>
          <w:ilvl w:val="0"/>
          <w:numId w:val="1019"/>
        </w:numPr>
      </w:pPr>
      <w:r>
        <w:rPr>
          <w:b/>
          <w:bCs/>
        </w:rPr>
        <w:t xml:space="preserve">Earnout Forfeiture</w:t>
      </w:r>
      <w:r>
        <w:t xml:space="preserve">: If Net Revenue &lt; $72,000,000, no earnout payment (Section 2.8(d) of seller-markup-spa.docx)</w:t>
      </w:r>
    </w:p>
    <w:p>
      <w:pPr>
        <w:pStyle w:val="Compact"/>
        <w:numPr>
          <w:ilvl w:val="0"/>
          <w:numId w:val="1019"/>
        </w:numPr>
      </w:pPr>
      <w:r>
        <w:rPr>
          <w:b/>
          <w:bCs/>
        </w:rPr>
        <w:t xml:space="preserve">Commercially Reasonable Efforts</w:t>
      </w:r>
      <w:r>
        <w:t xml:space="preserve">: Buyer must use commercially reasonable efforts to operate business to achieve earnout threshold (Section 2.8(d) of seller-markup-spa.docx)</w:t>
      </w:r>
    </w:p>
    <w:p>
      <w:pPr>
        <w:pStyle w:val="Compact"/>
        <w:numPr>
          <w:ilvl w:val="0"/>
          <w:numId w:val="1019"/>
        </w:numPr>
      </w:pPr>
      <w:r>
        <w:rPr>
          <w:b/>
          <w:bCs/>
        </w:rPr>
        <w:t xml:space="preserve">Separate Books Requirement</w:t>
      </w:r>
      <w:r>
        <w:t xml:space="preserve">: Buyer must maintain separate books and records for company through December 31, 2027 (Section 2.8(e) of seller-markup-spa.docx)</w:t>
      </w:r>
    </w:p>
    <w:p>
      <w:pPr>
        <w:pStyle w:val="Compact"/>
        <w:numPr>
          <w:ilvl w:val="0"/>
          <w:numId w:val="1019"/>
        </w:numPr>
      </w:pPr>
      <w:r>
        <w:rPr>
          <w:b/>
          <w:bCs/>
        </w:rPr>
        <w:t xml:space="preserve">Change of Control Acceleration</w:t>
      </w:r>
      <w:r>
        <w:t xml:space="preserve">: Earnout deemed earned in full upon change of control of buyer or company prior to earnout payment date (Section 2.8(g) of seller-markup-spa.docx)</w:t>
      </w:r>
    </w:p>
    <w:p>
      <w:pPr>
        <w:pStyle w:val="Heading3"/>
      </w:pPr>
      <w:bookmarkStart w:id="32" w:name="_9e7f051779ac0ba29c04c338dc8d19845d81baf"/>
      <w:r>
        <w:t xml:space="preserve">4.3 Playbook Position on Earnouts</w:t>
      </w:r>
      <w:bookmarkEnd w:id="32"/>
    </w:p>
    <w:p>
      <w:pPr>
        <w:pStyle w:val="Compact"/>
        <w:numPr>
          <w:ilvl w:val="0"/>
          <w:numId w:val="1020"/>
        </w:numPr>
      </w:pPr>
      <w:r>
        <w:rPr>
          <w:b/>
          <w:bCs/>
        </w:rPr>
        <w:t xml:space="preserve">Earnout Position</w:t>
      </w:r>
      <w:r>
        <w:t xml:space="preserve">: Earnouts are strongly disfavored; any earnout requires deal partner approval from Claire Westbrook (Section 2.1 of buyer-negotiation-playbook.docx)</w:t>
      </w:r>
    </w:p>
    <w:p>
      <w:pPr>
        <w:pStyle w:val="Compact"/>
        <w:numPr>
          <w:ilvl w:val="0"/>
          <w:numId w:val="1020"/>
        </w:numPr>
      </w:pPr>
      <w:r>
        <w:rPr>
          <w:b/>
          <w:bCs/>
        </w:rPr>
        <w:t xml:space="preserve">Earnout Guardrails</w:t>
      </w:r>
      <w:r>
        <w:t xml:space="preserve"> </w:t>
      </w:r>
      <w:r>
        <w:t xml:space="preserve">(if seriously considered):</w:t>
      </w:r>
    </w:p>
    <w:p>
      <w:pPr>
        <w:pStyle w:val="Compact"/>
        <w:numPr>
          <w:ilvl w:val="1"/>
          <w:numId w:val="1021"/>
        </w:numPr>
      </w:pPr>
      <w:r>
        <w:t xml:space="preserve">Maximum 5% of equity value ($6,375,000)</w:t>
      </w:r>
    </w:p>
    <w:p>
      <w:pPr>
        <w:pStyle w:val="Compact"/>
        <w:numPr>
          <w:ilvl w:val="1"/>
          <w:numId w:val="1021"/>
        </w:numPr>
      </w:pPr>
      <w:r>
        <w:t xml:space="preserve">Maximum 12-month measurement period</w:t>
      </w:r>
    </w:p>
    <w:p>
      <w:pPr>
        <w:pStyle w:val="Compact"/>
        <w:numPr>
          <w:ilvl w:val="1"/>
          <w:numId w:val="1021"/>
        </w:numPr>
      </w:pPr>
      <w:r>
        <w:t xml:space="preserve">No</w:t>
      </w:r>
      <w:r>
        <w:t xml:space="preserve"> </w:t>
      </w:r>
      <w:r>
        <w:t xml:space="preserve">“commercially reasonable efforts”</w:t>
      </w:r>
      <w:r>
        <w:t xml:space="preserve"> </w:t>
      </w:r>
      <w:r>
        <w:t xml:space="preserve">or similar operational covenants</w:t>
      </w:r>
    </w:p>
    <w:p>
      <w:pPr>
        <w:pStyle w:val="Compact"/>
        <w:numPr>
          <w:ilvl w:val="1"/>
          <w:numId w:val="1021"/>
        </w:numPr>
      </w:pPr>
      <w:r>
        <w:t xml:space="preserve">No requirement to maintain separate books or operations</w:t>
      </w:r>
    </w:p>
    <w:p>
      <w:pPr>
        <w:pStyle w:val="Compact"/>
        <w:numPr>
          <w:ilvl w:val="1"/>
          <w:numId w:val="1021"/>
        </w:numPr>
      </w:pPr>
      <w:r>
        <w:t xml:space="preserve">Objective, clearly defined, GAAP-consistent metrics</w:t>
      </w:r>
    </w:p>
    <w:p>
      <w:pPr>
        <w:pStyle w:val="Compact"/>
        <w:numPr>
          <w:ilvl w:val="1"/>
          <w:numId w:val="1021"/>
        </w:numPr>
      </w:pPr>
      <w:r>
        <w:t xml:space="preserve">Buyer retains sole discretion over target’s operations</w:t>
      </w:r>
    </w:p>
    <w:p>
      <w:pPr>
        <w:pStyle w:val="Compact"/>
        <w:numPr>
          <w:ilvl w:val="0"/>
          <w:numId w:val="1020"/>
        </w:numPr>
      </w:pPr>
      <w:r>
        <w:rPr>
          <w:b/>
          <w:bCs/>
        </w:rPr>
        <w:t xml:space="preserve">Internal Base Case</w:t>
      </w:r>
      <w:r>
        <w:t xml:space="preserve">: Buyer’s internal base case revenue projection for DataForge in FY2026 is $69.5M (Section 2.1 of buyer-negotiation-playbook.docx)</w:t>
      </w:r>
    </w:p>
    <w:p>
      <w:pPr>
        <w:pStyle w:val="Compact"/>
        <w:numPr>
          <w:ilvl w:val="0"/>
          <w:numId w:val="1020"/>
        </w:numPr>
      </w:pPr>
      <w:r>
        <w:rPr>
          <w:b/>
          <w:bCs/>
        </w:rPr>
        <w:t xml:space="preserve">Upside Case</w:t>
      </w:r>
      <w:r>
        <w:t xml:space="preserve">: FY2026E Upside Case is $73.1M (dataforge-financial-summary.xlsx)</w:t>
      </w:r>
    </w:p>
    <w:p>
      <w:pPr>
        <w:pStyle w:val="Heading3"/>
      </w:pPr>
      <w:bookmarkStart w:id="33" w:name="_5b697f65a862ecba3ca52940836bcacb082d9fd"/>
      <w:r>
        <w:t xml:space="preserve">4.4 Deviation Analysis</w:t>
      </w:r>
      <w:bookmarkEnd w:id="33"/>
    </w:p>
    <w:p>
      <w:pPr>
        <w:pStyle w:val="Compact"/>
        <w:numPr>
          <w:ilvl w:val="0"/>
          <w:numId w:val="1022"/>
        </w:numPr>
      </w:pPr>
      <w:r>
        <w:rPr>
          <w:b/>
          <w:bCs/>
        </w:rPr>
        <w:t xml:space="preserve">Earnout Size</w:t>
      </w:r>
      <w:r>
        <w:t xml:space="preserve">: Seller’s $10,000,000 earnout exceeds 5% playbook limit ($6,375,000) by 57%.</w:t>
      </w:r>
    </w:p>
    <w:p>
      <w:pPr>
        <w:pStyle w:val="Compact"/>
        <w:numPr>
          <w:ilvl w:val="0"/>
          <w:numId w:val="1022"/>
        </w:numPr>
      </w:pPr>
      <w:r>
        <w:rPr>
          <w:b/>
          <w:bCs/>
        </w:rPr>
        <w:t xml:space="preserve">Measurement Period</w:t>
      </w:r>
      <w:r>
        <w:t xml:space="preserve">: 12-month FY2026 period is at the upper limit of acceptability (12 months maximum per playbook).</w:t>
      </w:r>
    </w:p>
    <w:p>
      <w:pPr>
        <w:pStyle w:val="Compact"/>
        <w:numPr>
          <w:ilvl w:val="0"/>
          <w:numId w:val="1022"/>
        </w:numPr>
      </w:pPr>
      <w:r>
        <w:rPr>
          <w:b/>
          <w:bCs/>
        </w:rPr>
        <w:t xml:space="preserve">Revenue Threshold</w:t>
      </w:r>
      <w:r>
        <w:t xml:space="preserve">: $72,000,000 Net Revenue threshold exceeds buyer’s base case projection ($69.5M) and is only slightly below upside case ($73.1M), making achievement uncertain.</w:t>
      </w:r>
    </w:p>
    <w:p>
      <w:pPr>
        <w:pStyle w:val="Compact"/>
        <w:numPr>
          <w:ilvl w:val="0"/>
          <w:numId w:val="1022"/>
        </w:numPr>
      </w:pPr>
      <w:r>
        <w:rPr>
          <w:b/>
          <w:bCs/>
        </w:rPr>
        <w:t xml:space="preserve">Prohibited Covenants</w:t>
      </w:r>
      <w:r>
        <w:t xml:space="preserve">: Seller’s earnout includes both commercially reasonable efforts covenant (Section 2.8(d)) and separate books requirement through December 31, 2027 (Section 2.8(e)), both explicitly prohibited by playbook.</w:t>
      </w:r>
    </w:p>
    <w:p>
      <w:pPr>
        <w:pStyle w:val="Compact"/>
        <w:numPr>
          <w:ilvl w:val="0"/>
          <w:numId w:val="1022"/>
        </w:numPr>
      </w:pPr>
      <w:r>
        <w:rPr>
          <w:b/>
          <w:bCs/>
        </w:rPr>
        <w:t xml:space="preserve">Change of Control Acceleration</w:t>
      </w:r>
      <w:r>
        <w:t xml:space="preserve">: Seller adds change-of-control acceleration provision (Section 2.8(g)) not addressed in playbook but creates additional complexity.</w:t>
      </w:r>
    </w:p>
    <w:p>
      <w:pPr>
        <w:pStyle w:val="Compact"/>
        <w:numPr>
          <w:ilvl w:val="0"/>
          <w:numId w:val="1022"/>
        </w:numPr>
      </w:pPr>
      <w:r>
        <w:rPr>
          <w:b/>
          <w:bCs/>
        </w:rPr>
        <w:t xml:space="preserve">Payment Timing</w:t>
      </w:r>
      <w:r>
        <w:t xml:space="preserve">: Earnout payable within 60 days of audited financial statement finalization creates payment uncertainty.</w:t>
      </w:r>
    </w:p>
    <w:p>
      <w:pPr>
        <w:pStyle w:val="Heading3"/>
      </w:pPr>
      <w:bookmarkStart w:id="34" w:name="_27a8b8c975416d9ed43b76125765f63cc873450"/>
      <w:r>
        <w:t xml:space="preserve">4.5 Recommendations</w:t>
      </w:r>
      <w:bookmarkEnd w:id="34"/>
    </w:p>
    <w:p>
      <w:pPr>
        <w:pStyle w:val="Compact"/>
        <w:numPr>
          <w:ilvl w:val="0"/>
          <w:numId w:val="1023"/>
        </w:numPr>
      </w:pPr>
      <w:r>
        <w:rPr>
          <w:b/>
          <w:bCs/>
        </w:rPr>
        <w:t xml:space="preserve">Reject Earnout Structure</w:t>
      </w:r>
      <w:r>
        <w:t xml:space="preserve">: The $10,000,000 earnout exceeds playbook limits and includes prohibited operational covenants.</w:t>
      </w:r>
    </w:p>
    <w:p>
      <w:pPr>
        <w:pStyle w:val="Compact"/>
        <w:numPr>
          <w:ilvl w:val="0"/>
          <w:numId w:val="1023"/>
        </w:numPr>
      </w:pPr>
      <w:r>
        <w:rPr>
          <w:b/>
          <w:bCs/>
        </w:rPr>
        <w:t xml:space="preserve">If Earnout Considered</w:t>
      </w:r>
      <w:r>
        <w:t xml:space="preserve">: Must be limited to $6,375,000 (5% of equity value) with 12-month maximum measurement period.</w:t>
      </w:r>
    </w:p>
    <w:p>
      <w:pPr>
        <w:pStyle w:val="Compact"/>
        <w:numPr>
          <w:ilvl w:val="0"/>
          <w:numId w:val="1023"/>
        </w:numPr>
      </w:pPr>
      <w:r>
        <w:rPr>
          <w:b/>
          <w:bCs/>
        </w:rPr>
        <w:t xml:space="preserve">Reject Operational Covenants</w:t>
      </w:r>
      <w:r>
        <w:t xml:space="preserve">: Oppose any commercially reasonable efforts covenant or separate books requirement.</w:t>
      </w:r>
    </w:p>
    <w:p>
      <w:pPr>
        <w:pStyle w:val="Compact"/>
        <w:numPr>
          <w:ilvl w:val="0"/>
          <w:numId w:val="1023"/>
        </w:numPr>
      </w:pPr>
      <w:r>
        <w:rPr>
          <w:b/>
          <w:bCs/>
        </w:rPr>
        <w:t xml:space="preserve">Objective Metrics Only</w:t>
      </w:r>
      <w:r>
        <w:t xml:space="preserve">: Ensure earnout metrics are objective, clearly defined, and GAAP-consistent.</w:t>
      </w:r>
    </w:p>
    <w:p>
      <w:pPr>
        <w:pStyle w:val="Compact"/>
        <w:numPr>
          <w:ilvl w:val="0"/>
          <w:numId w:val="1023"/>
        </w:numPr>
      </w:pPr>
      <w:r>
        <w:rPr>
          <w:b/>
          <w:bCs/>
        </w:rPr>
        <w:t xml:space="preserve">Buyer Discretion</w:t>
      </w:r>
      <w:r>
        <w:t xml:space="preserve">: Require buyer to retain sole discretion over target’s operations.</w:t>
      </w:r>
    </w:p>
    <w:p>
      <w:pPr>
        <w:pStyle w:val="Compact"/>
        <w:numPr>
          <w:ilvl w:val="0"/>
          <w:numId w:val="1023"/>
        </w:numPr>
      </w:pPr>
      <w:r>
        <w:rPr>
          <w:b/>
          <w:bCs/>
        </w:rPr>
        <w:t xml:space="preserve">Threshold Review</w:t>
      </w:r>
      <w:r>
        <w:t xml:space="preserve">: Given base case projection of $69.5M, $72M threshold appears aggressive; consider lowering to align with base case or providing partial achievement curve.</w:t>
      </w:r>
    </w:p>
    <w:p>
      <w:pPr>
        <w:pStyle w:val="Heading2"/>
      </w:pPr>
      <w:bookmarkStart w:id="35" w:name="_bce13b5f38e9bca39cb2209e150126d4184576a"/>
      <w:r>
        <w:t xml:space="preserve">5. Dispute Resolution Analysis</w:t>
      </w:r>
      <w:bookmarkEnd w:id="35"/>
    </w:p>
    <w:p>
      <w:pPr>
        <w:pStyle w:val="Heading3"/>
      </w:pPr>
      <w:bookmarkStart w:id="36" w:name="_182f170933527862676887bd844e86dd7860985"/>
      <w:r>
        <w:t xml:space="preserve">5.1 Original SPA Draft Dispute Resolution</w:t>
      </w:r>
      <w:bookmarkEnd w:id="36"/>
    </w:p>
    <w:p>
      <w:pPr>
        <w:pStyle w:val="Compact"/>
        <w:numPr>
          <w:ilvl w:val="0"/>
          <w:numId w:val="1024"/>
        </w:numPr>
      </w:pPr>
      <w:r>
        <w:rPr>
          <w:b/>
          <w:bCs/>
        </w:rPr>
        <w:t xml:space="preserve">Exclusive Jurisdiction</w:t>
      </w:r>
      <w:r>
        <w:t xml:space="preserve">: Courts of the State of New York and United States District Court for the Southern District of New York (Section 12.11 of original-spa-draft.docx)</w:t>
      </w:r>
    </w:p>
    <w:p>
      <w:pPr>
        <w:pStyle w:val="Compact"/>
        <w:numPr>
          <w:ilvl w:val="0"/>
          <w:numId w:val="1024"/>
        </w:numPr>
      </w:pPr>
      <w:r>
        <w:rPr>
          <w:b/>
          <w:bCs/>
        </w:rPr>
        <w:t xml:space="preserve">Waiver of Jury Trial</w:t>
      </w:r>
      <w:r>
        <w:t xml:space="preserve">: Parties waive right to trial by jury (Section 12.12 of original-spa-draft.docx)</w:t>
      </w:r>
    </w:p>
    <w:p>
      <w:pPr>
        <w:pStyle w:val="Compact"/>
        <w:numPr>
          <w:ilvl w:val="0"/>
          <w:numId w:val="1024"/>
        </w:numPr>
      </w:pPr>
      <w:r>
        <w:rPr>
          <w:b/>
          <w:bCs/>
        </w:rPr>
        <w:t xml:space="preserve">Specific Performance</w:t>
      </w:r>
      <w:r>
        <w:t xml:space="preserve">: Available remedy for breach (Section 12.9 of original-spa-draft.docx)</w:t>
      </w:r>
    </w:p>
    <w:p>
      <w:pPr>
        <w:pStyle w:val="Heading3"/>
      </w:pPr>
      <w:bookmarkStart w:id="37" w:name="_2ef8c02e1caa7c95c8e3715a8962e14c4ecd756"/>
      <w:r>
        <w:t xml:space="preserve">5.2 Seller’s Markup Dispute Resolution</w:t>
      </w:r>
      <w:bookmarkEnd w:id="37"/>
    </w:p>
    <w:p>
      <w:pPr>
        <w:pStyle w:val="Compact"/>
        <w:numPr>
          <w:ilvl w:val="0"/>
          <w:numId w:val="1025"/>
        </w:numPr>
      </w:pPr>
      <w:r>
        <w:rPr>
          <w:b/>
          <w:bCs/>
        </w:rPr>
        <w:t xml:space="preserve">Binding Arbitration</w:t>
      </w:r>
      <w:r>
        <w:t xml:space="preserve">: Replaces exclusive jurisdiction with binding arbitration under AAA Commercial Arbitration Rules, seated in Chicago, Illinois (Section 10.12 of seller-markup-spa.docx)</w:t>
      </w:r>
    </w:p>
    <w:p>
      <w:pPr>
        <w:pStyle w:val="Compact"/>
        <w:numPr>
          <w:ilvl w:val="0"/>
          <w:numId w:val="1025"/>
        </w:numPr>
      </w:pPr>
      <w:r>
        <w:rPr>
          <w:b/>
          <w:bCs/>
        </w:rPr>
        <w:t xml:space="preserve">Jury Trial Waiver</w:t>
      </w:r>
      <w:r>
        <w:t xml:space="preserve">: Presumed waived in arbitration context</w:t>
      </w:r>
    </w:p>
    <w:p>
      <w:pPr>
        <w:pStyle w:val="Compact"/>
        <w:numPr>
          <w:ilvl w:val="0"/>
          <w:numId w:val="1025"/>
        </w:numPr>
      </w:pPr>
      <w:r>
        <w:rPr>
          <w:b/>
          <w:bCs/>
        </w:rPr>
        <w:t xml:space="preserve">Specific Performance</w:t>
      </w:r>
      <w:r>
        <w:t xml:space="preserve">: Availability unclear in arbitration context</w:t>
      </w:r>
    </w:p>
    <w:p>
      <w:pPr>
        <w:pStyle w:val="Heading3"/>
      </w:pPr>
      <w:bookmarkStart w:id="38" w:name="_ee1e2550a01daa19252dd77c68eccb12669b678"/>
      <w:r>
        <w:t xml:space="preserve">5.3 Playbook Position on Dispute Resolution</w:t>
      </w:r>
      <w:bookmarkEnd w:id="38"/>
    </w:p>
    <w:p>
      <w:pPr>
        <w:pStyle w:val="Compact"/>
        <w:numPr>
          <w:ilvl w:val="0"/>
          <w:numId w:val="1026"/>
        </w:numPr>
      </w:pPr>
      <w:r>
        <w:t xml:space="preserve">Not explicitly addressed in buyer-negotiation-playbook.docx</w:t>
      </w:r>
    </w:p>
    <w:p>
      <w:pPr>
        <w:pStyle w:val="Compact"/>
        <w:numPr>
          <w:ilvl w:val="0"/>
          <w:numId w:val="1026"/>
        </w:numPr>
      </w:pPr>
      <w:r>
        <w:t xml:space="preserve">Market standard for technology M&amp;A transactions often favors arbitration for efficiency and confidentiality</w:t>
      </w:r>
    </w:p>
    <w:p>
      <w:pPr>
        <w:pStyle w:val="Compact"/>
        <w:numPr>
          <w:ilvl w:val="0"/>
          <w:numId w:val="1026"/>
        </w:numPr>
      </w:pPr>
      <w:r>
        <w:t xml:space="preserve">Change from New York jurisdiction to Chicago arbitration may be neutral or slightly favorable to seller (Kessler Hahn is Chicago-based)</w:t>
      </w:r>
    </w:p>
    <w:p>
      <w:pPr>
        <w:pStyle w:val="Heading3"/>
      </w:pPr>
      <w:bookmarkStart w:id="39" w:name="_ca0eacbf3557556c26b0ae0b736cb51b0c488d1"/>
      <w:r>
        <w:t xml:space="preserve">5.4 Deviation Analysis</w:t>
      </w:r>
      <w:bookmarkEnd w:id="39"/>
    </w:p>
    <w:p>
      <w:pPr>
        <w:pStyle w:val="Compact"/>
        <w:numPr>
          <w:ilvl w:val="0"/>
          <w:numId w:val="1027"/>
        </w:numPr>
      </w:pPr>
      <w:r>
        <w:rPr>
          <w:b/>
          <w:bCs/>
        </w:rPr>
        <w:t xml:space="preserve">Jurisdiction Change</w:t>
      </w:r>
      <w:r>
        <w:t xml:space="preserve">: Shift from New York courts to Chicago arbitration changes enforcement dynamics and may favor seller given counsel’s location.</w:t>
      </w:r>
    </w:p>
    <w:p>
      <w:pPr>
        <w:pStyle w:val="Compact"/>
        <w:numPr>
          <w:ilvl w:val="0"/>
          <w:numId w:val="1027"/>
        </w:numPr>
      </w:pPr>
      <w:r>
        <w:rPr>
          <w:b/>
          <w:bCs/>
        </w:rPr>
        <w:t xml:space="preserve">Arbitration Benefits</w:t>
      </w:r>
      <w:r>
        <w:t xml:space="preserve">: Arbitration can be more efficient and confidential than litigation, potentially benefiting both parties.</w:t>
      </w:r>
    </w:p>
    <w:p>
      <w:pPr>
        <w:pStyle w:val="Compact"/>
        <w:numPr>
          <w:ilvl w:val="0"/>
          <w:numId w:val="1027"/>
        </w:numPr>
      </w:pPr>
      <w:r>
        <w:rPr>
          <w:b/>
          <w:bCs/>
        </w:rPr>
        <w:t xml:space="preserve">AAA Rules</w:t>
      </w:r>
      <w:r>
        <w:t xml:space="preserve">: Use of established AAA Commercial Arbitration Rules provides procedural certainty.</w:t>
      </w:r>
    </w:p>
    <w:p>
      <w:pPr>
        <w:pStyle w:val="Compact"/>
        <w:numPr>
          <w:ilvl w:val="0"/>
          <w:numId w:val="1027"/>
        </w:numPr>
      </w:pPr>
      <w:r>
        <w:rPr>
          <w:b/>
          <w:bCs/>
        </w:rPr>
        <w:t xml:space="preserve">Seating Location</w:t>
      </w:r>
      <w:r>
        <w:t xml:space="preserve">: Chicago seating may be convenient for parties but removes New York’s plaintiff-friendly reputation.</w:t>
      </w:r>
    </w:p>
    <w:p>
      <w:pPr>
        <w:pStyle w:val="Heading3"/>
      </w:pPr>
      <w:bookmarkStart w:id="40" w:name="_1e06d560cc666e533aac813abc0f773be4ab681"/>
      <w:r>
        <w:t xml:space="preserve">5.5 Recommendations</w:t>
      </w:r>
      <w:bookmarkEnd w:id="40"/>
    </w:p>
    <w:p>
      <w:pPr>
        <w:pStyle w:val="Compact"/>
        <w:numPr>
          <w:ilvl w:val="0"/>
          <w:numId w:val="1028"/>
        </w:numPr>
      </w:pPr>
      <w:r>
        <w:rPr>
          <w:b/>
          <w:bCs/>
        </w:rPr>
        <w:t xml:space="preserve">Evaluate Arbitration Merits</w:t>
      </w:r>
      <w:r>
        <w:t xml:space="preserve">: Consider efficiency and confidentiality benefits of arbitration versus New York litigation.</w:t>
      </w:r>
    </w:p>
    <w:p>
      <w:pPr>
        <w:pStyle w:val="Compact"/>
        <w:numPr>
          <w:ilvl w:val="0"/>
          <w:numId w:val="1028"/>
        </w:numPr>
      </w:pPr>
      <w:r>
        <w:rPr>
          <w:b/>
          <w:bCs/>
        </w:rPr>
        <w:t xml:space="preserve">Neutral Seating</w:t>
      </w:r>
      <w:r>
        <w:t xml:space="preserve">: If accepting arbitration, consider neutral seating location (e.g., New York) to avoid home-court advantage for Chicago-based seller counsel.</w:t>
      </w:r>
    </w:p>
    <w:p>
      <w:pPr>
        <w:pStyle w:val="Compact"/>
        <w:numPr>
          <w:ilvl w:val="0"/>
          <w:numId w:val="1028"/>
        </w:numPr>
      </w:pPr>
      <w:r>
        <w:rPr>
          <w:b/>
          <w:bCs/>
        </w:rPr>
        <w:t xml:space="preserve">Preserve Specific Performance</w:t>
      </w:r>
      <w:r>
        <w:t xml:space="preserve">: Ensure arbitration agreement does not eliminate specific performance as remedy for certain breaches (e.g., restrictive covenants).</w:t>
      </w:r>
    </w:p>
    <w:p>
      <w:pPr>
        <w:pStyle w:val="Compact"/>
        <w:numPr>
          <w:ilvl w:val="0"/>
          <w:numId w:val="1028"/>
        </w:numPr>
      </w:pPr>
      <w:r>
        <w:rPr>
          <w:b/>
          <w:bCs/>
        </w:rPr>
        <w:t xml:space="preserve">Cost Allocation</w:t>
      </w:r>
      <w:r>
        <w:t xml:space="preserve">: Clarify attorney’s fees and cost allocation in arbitration provisions.</w:t>
      </w:r>
    </w:p>
    <w:p>
      <w:pPr>
        <w:pStyle w:val="Heading2"/>
      </w:pPr>
      <w:bookmarkStart w:id="41" w:name="_de985cd70b3d2a51a51a729bcd66d21338927f2"/>
      <w:r>
        <w:t xml:space="preserve">6. Restrictive Covenants Analysis</w:t>
      </w:r>
      <w:bookmarkEnd w:id="41"/>
    </w:p>
    <w:p>
      <w:pPr>
        <w:pStyle w:val="Heading3"/>
      </w:pPr>
      <w:bookmarkStart w:id="42" w:name="_1ac6a19711dc70da0d1a1fd348d318c3d64e034"/>
      <w:r>
        <w:t xml:space="preserve">6.1 Original SPA Draft Restrictive Covenants</w:t>
      </w:r>
      <w:bookmarkEnd w:id="42"/>
    </w:p>
    <w:p>
      <w:pPr>
        <w:pStyle w:val="Compact"/>
        <w:numPr>
          <w:ilvl w:val="0"/>
          <w:numId w:val="1029"/>
        </w:numPr>
      </w:pPr>
      <w:r>
        <w:rPr>
          <w:b/>
          <w:bCs/>
        </w:rPr>
        <w:t xml:space="preserve">Non-Competition Period</w:t>
      </w:r>
      <w:r>
        <w:t xml:space="preserve">: Three (3) years following closing date (Section 7.4 of original-spa-draft.docx)</w:t>
      </w:r>
    </w:p>
    <w:p>
      <w:pPr>
        <w:pStyle w:val="Compact"/>
        <w:numPr>
          <w:ilvl w:val="0"/>
          <w:numId w:val="1029"/>
        </w:numPr>
      </w:pPr>
      <w:r>
        <w:rPr>
          <w:b/>
          <w:bCs/>
        </w:rPr>
        <w:t xml:space="preserve">Non-Solicitation Period</w:t>
      </w:r>
      <w:r>
        <w:t xml:space="preserve">: Two (2) years following closing date (Section 7.5 of original-spa-draft.docx)</w:t>
      </w:r>
    </w:p>
    <w:p>
      <w:pPr>
        <w:pStyle w:val="Compact"/>
        <w:numPr>
          <w:ilvl w:val="0"/>
          <w:numId w:val="1029"/>
        </w:numPr>
      </w:pPr>
      <w:r>
        <w:rPr>
          <w:b/>
          <w:bCs/>
        </w:rPr>
        <w:t xml:space="preserve">Geographic Scope</w:t>
      </w:r>
      <w:r>
        <w:t xml:space="preserve">: Not explicitly limited in original draft (implied worldwide)</w:t>
      </w:r>
    </w:p>
    <w:p>
      <w:pPr>
        <w:pStyle w:val="Heading3"/>
      </w:pPr>
      <w:bookmarkStart w:id="43" w:name="_bb5482e0a2878d98e8de41a8c069f2382dc90c4"/>
      <w:r>
        <w:t xml:space="preserve">6.2 Seller’s Markup Restrictive Covenants</w:t>
      </w:r>
      <w:bookmarkEnd w:id="43"/>
    </w:p>
    <w:p>
      <w:pPr>
        <w:pStyle w:val="Compact"/>
        <w:numPr>
          <w:ilvl w:val="0"/>
          <w:numId w:val="1030"/>
        </w:numPr>
      </w:pPr>
      <w:r>
        <w:rPr>
          <w:b/>
          <w:bCs/>
        </w:rPr>
        <w:t xml:space="preserve">Non-Competition Period</w:t>
      </w:r>
      <w:r>
        <w:t xml:space="preserve">: Eighteen (18) months (Section 7.4 of seller-markup-spa.docx)</w:t>
      </w:r>
    </w:p>
    <w:p>
      <w:pPr>
        <w:pStyle w:val="Compact"/>
        <w:numPr>
          <w:ilvl w:val="0"/>
          <w:numId w:val="1030"/>
        </w:numPr>
      </w:pPr>
      <w:r>
        <w:rPr>
          <w:b/>
          <w:bCs/>
        </w:rPr>
        <w:t xml:space="preserve">Non-Solicitation Period</w:t>
      </w:r>
      <w:r>
        <w:t xml:space="preserve">: Not explicitly changed in markup (appears retained at two years)</w:t>
      </w:r>
    </w:p>
    <w:p>
      <w:pPr>
        <w:pStyle w:val="Compact"/>
        <w:numPr>
          <w:ilvl w:val="0"/>
          <w:numId w:val="1030"/>
        </w:numPr>
      </w:pPr>
      <w:r>
        <w:rPr>
          <w:b/>
          <w:bCs/>
        </w:rPr>
        <w:t xml:space="preserve">Geographic Scope</w:t>
      </w:r>
      <w:r>
        <w:t xml:space="preserve">: Tailored to markets in which company currently operates (Section 7.4 of seller-markup-spa.docx)</w:t>
      </w:r>
    </w:p>
    <w:p>
      <w:pPr>
        <w:pStyle w:val="Compact"/>
        <w:numPr>
          <w:ilvl w:val="0"/>
          <w:numId w:val="1030"/>
        </w:numPr>
      </w:pPr>
      <w:r>
        <w:rPr>
          <w:b/>
          <w:bCs/>
        </w:rPr>
        <w:t xml:space="preserve">Enforceability Justification</w:t>
      </w:r>
      <w:r>
        <w:t xml:space="preserve">: Necessary to ensure enforceability under applicable state law, particularly Illinois and California (Section 7.4 of seller-markup-spa.docx)</w:t>
      </w:r>
    </w:p>
    <w:p>
      <w:pPr>
        <w:pStyle w:val="Heading3"/>
      </w:pPr>
      <w:bookmarkStart w:id="44" w:name="_7decf3f0d185ea5159f0b0e26dbf2f8946970ac"/>
      <w:r>
        <w:t xml:space="preserve">6.3 Playbook Position on Restrictive Covenants</w:t>
      </w:r>
      <w:bookmarkEnd w:id="44"/>
    </w:p>
    <w:p>
      <w:pPr>
        <w:pStyle w:val="Compact"/>
        <w:numPr>
          <w:ilvl w:val="0"/>
          <w:numId w:val="1031"/>
        </w:numPr>
      </w:pPr>
      <w:r>
        <w:t xml:space="preserve">Not explicitly addressed in buyer-negotiation-playbook.docx</w:t>
      </w:r>
    </w:p>
    <w:p>
      <w:pPr>
        <w:pStyle w:val="Compact"/>
        <w:numPr>
          <w:ilvl w:val="0"/>
          <w:numId w:val="1031"/>
        </w:numPr>
      </w:pPr>
      <w:r>
        <w:t xml:space="preserve">Market standards vary by jurisdiction; 18-24 month non-competes common in technology transactions</w:t>
      </w:r>
    </w:p>
    <w:p>
      <w:pPr>
        <w:pStyle w:val="Compact"/>
        <w:numPr>
          <w:ilvl w:val="0"/>
          <w:numId w:val="1031"/>
        </w:numPr>
      </w:pPr>
      <w:r>
        <w:t xml:space="preserve">Geographic limitations to actual operating markets are generally reasonable and enforceable</w:t>
      </w:r>
    </w:p>
    <w:p>
      <w:pPr>
        <w:pStyle w:val="Heading3"/>
      </w:pPr>
      <w:bookmarkStart w:id="45" w:name="_fbe8d9bc2b2a47209c5084927565f48dcd80bfb"/>
      <w:r>
        <w:t xml:space="preserve">6.4 Deviation Analysis</w:t>
      </w:r>
      <w:bookmarkEnd w:id="45"/>
    </w:p>
    <w:p>
      <w:pPr>
        <w:pStyle w:val="Compact"/>
        <w:numPr>
          <w:ilvl w:val="0"/>
          <w:numId w:val="1032"/>
        </w:numPr>
      </w:pPr>
      <w:r>
        <w:rPr>
          <w:b/>
          <w:bCs/>
        </w:rPr>
        <w:t xml:space="preserve">Non-Compete Reduction</w:t>
      </w:r>
      <w:r>
        <w:t xml:space="preserve">: Seller reduces non-compete period from 3 years to 18 months, citing enforceability concerns in Illinois and California.</w:t>
      </w:r>
    </w:p>
    <w:p>
      <w:pPr>
        <w:pStyle w:val="Compact"/>
        <w:numPr>
          <w:ilvl w:val="0"/>
          <w:numId w:val="1032"/>
        </w:numPr>
      </w:pPr>
      <w:r>
        <w:rPr>
          <w:b/>
          <w:bCs/>
        </w:rPr>
        <w:t xml:space="preserve">Geographic Limitation</w:t>
      </w:r>
      <w:r>
        <w:t xml:space="preserve">: Seller adds geographic scope limitation to current operating markets, which is reasonable and may enhance enforceability.</w:t>
      </w:r>
    </w:p>
    <w:p>
      <w:pPr>
        <w:pStyle w:val="Compact"/>
        <w:numPr>
          <w:ilvl w:val="0"/>
          <w:numId w:val="1032"/>
        </w:numPr>
      </w:pPr>
      <w:r>
        <w:rPr>
          <w:b/>
          <w:bCs/>
        </w:rPr>
        <w:t xml:space="preserve">Non-Solicitation Preservation</w:t>
      </w:r>
      <w:r>
        <w:t xml:space="preserve">: Non-solicitation period appears unchanged at two years.</w:t>
      </w:r>
    </w:p>
    <w:p>
      <w:pPr>
        <w:pStyle w:val="Compact"/>
        <w:numPr>
          <w:ilvl w:val="0"/>
          <w:numId w:val="1032"/>
        </w:numPr>
      </w:pPr>
      <w:r>
        <w:rPr>
          <w:b/>
          <w:bCs/>
        </w:rPr>
        <w:t xml:space="preserve">State Law Considerations</w:t>
      </w:r>
      <w:r>
        <w:t xml:space="preserve">: Reduction reflects legitimate concerns about restrictive covenant enforceability in certain jurisdictions.</w:t>
      </w:r>
    </w:p>
    <w:p>
      <w:pPr>
        <w:pStyle w:val="Heading3"/>
      </w:pPr>
      <w:bookmarkStart w:id="46" w:name="_ae94d726eb4f3ccfde0e29c0aaaa6cd56a80722"/>
      <w:r>
        <w:t xml:space="preserve">6.5 Recommendations</w:t>
      </w:r>
      <w:bookmarkEnd w:id="46"/>
    </w:p>
    <w:p>
      <w:pPr>
        <w:pStyle w:val="Compact"/>
        <w:numPr>
          <w:ilvl w:val="0"/>
          <w:numId w:val="1033"/>
        </w:numPr>
      </w:pPr>
      <w:r>
        <w:rPr>
          <w:b/>
          <w:bCs/>
        </w:rPr>
        <w:t xml:space="preserve">Accept 18-Month Non-Compete</w:t>
      </w:r>
      <w:r>
        <w:t xml:space="preserve">: Reduction from 3 years to 18 months is reasonable given enforceability concerns in IL and CA, and aligns with market practice for many technology transactions.</w:t>
      </w:r>
    </w:p>
    <w:p>
      <w:pPr>
        <w:pStyle w:val="Compact"/>
        <w:numPr>
          <w:ilvl w:val="0"/>
          <w:numId w:val="1033"/>
        </w:numPr>
      </w:pPr>
      <w:r>
        <w:rPr>
          <w:b/>
          <w:bCs/>
        </w:rPr>
        <w:t xml:space="preserve">Accept Geographic Limitation</w:t>
      </w:r>
      <w:r>
        <w:t xml:space="preserve">: Tailoring geographic scope to actual operating markets is reasonable and enhances enforceability.</w:t>
      </w:r>
    </w:p>
    <w:p>
      <w:pPr>
        <w:pStyle w:val="Compact"/>
        <w:numPr>
          <w:ilvl w:val="0"/>
          <w:numId w:val="1033"/>
        </w:numPr>
      </w:pPr>
      <w:r>
        <w:rPr>
          <w:b/>
          <w:bCs/>
        </w:rPr>
        <w:t xml:space="preserve">Maintain 2-Year Non-Solicitation</w:t>
      </w:r>
      <w:r>
        <w:t xml:space="preserve">: Preserve two-year non-solicitation period as originally drafted.</w:t>
      </w:r>
    </w:p>
    <w:p>
      <w:pPr>
        <w:pStyle w:val="Compact"/>
        <w:numPr>
          <w:ilvl w:val="0"/>
          <w:numId w:val="1033"/>
        </w:numPr>
      </w:pPr>
      <w:r>
        <w:rPr>
          <w:b/>
          <w:bCs/>
        </w:rPr>
        <w:t xml:space="preserve">Consider Jurisdictional Carveouts</w:t>
      </w:r>
      <w:r>
        <w:t xml:space="preserve">: Evaluate whether longer periods might be enforceable in certain jurisdictions with carveouts for problematic states.</w:t>
      </w:r>
    </w:p>
    <w:p>
      <w:pPr>
        <w:pStyle w:val="Heading2"/>
      </w:pPr>
      <w:bookmarkStart w:id="47" w:name="_e24555ea9af656e306695877f98efa22923c10d"/>
      <w:r>
        <w:t xml:space="preserve">7. Tax Matters Analysis</w:t>
      </w:r>
      <w:bookmarkEnd w:id="47"/>
    </w:p>
    <w:p>
      <w:pPr>
        <w:pStyle w:val="Heading3"/>
      </w:pPr>
      <w:bookmarkStart w:id="48" w:name="_b4a13f9698a632c704ce6cf9553c645c05e54d0"/>
      <w:r>
        <w:t xml:space="preserve">7.1 Original SPA Draft Tax Provisions</w:t>
      </w:r>
      <w:bookmarkEnd w:id="48"/>
    </w:p>
    <w:p>
      <w:pPr>
        <w:pStyle w:val="Compact"/>
        <w:numPr>
          <w:ilvl w:val="0"/>
          <w:numId w:val="1034"/>
        </w:numPr>
      </w:pPr>
      <w:r>
        <w:rPr>
          <w:b/>
          <w:bCs/>
        </w:rPr>
        <w:t xml:space="preserve">Section 338(h)(10) Election</w:t>
      </w:r>
      <w:r>
        <w:t xml:space="preserve">: Not addressed in original draft (implied permitted)</w:t>
      </w:r>
    </w:p>
    <w:p>
      <w:pPr>
        <w:pStyle w:val="Compact"/>
        <w:numPr>
          <w:ilvl w:val="0"/>
          <w:numId w:val="1034"/>
        </w:numPr>
      </w:pPr>
      <w:r>
        <w:rPr>
          <w:b/>
          <w:bCs/>
        </w:rPr>
        <w:t xml:space="preserve">Tax Representations</w:t>
      </w:r>
      <w:r>
        <w:t xml:space="preserve">: Standard representations in Section 4.12</w:t>
      </w:r>
    </w:p>
    <w:p>
      <w:pPr>
        <w:pStyle w:val="Compact"/>
        <w:numPr>
          <w:ilvl w:val="0"/>
          <w:numId w:val="1034"/>
        </w:numPr>
      </w:pPr>
      <w:r>
        <w:rPr>
          <w:b/>
          <w:bCs/>
        </w:rPr>
        <w:t xml:space="preserve">Tax Covenants</w:t>
      </w:r>
      <w:r>
        <w:t xml:space="preserve">: Standard pre- and post-closing tax covenants in Sections 6.5 and 7.8</w:t>
      </w:r>
    </w:p>
    <w:p>
      <w:pPr>
        <w:pStyle w:val="Heading3"/>
      </w:pPr>
      <w:bookmarkStart w:id="49" w:name="_0e5310003f51b55b183d715799c9917400bf31d"/>
      <w:r>
        <w:t xml:space="preserve">7.2 Seller’s Markup Tax Provisions</w:t>
      </w:r>
      <w:bookmarkEnd w:id="49"/>
    </w:p>
    <w:p>
      <w:pPr>
        <w:pStyle w:val="Compact"/>
        <w:numPr>
          <w:ilvl w:val="0"/>
          <w:numId w:val="1035"/>
        </w:numPr>
      </w:pPr>
      <w:r>
        <w:rPr>
          <w:b/>
          <w:bCs/>
        </w:rPr>
        <w:t xml:space="preserve">Section 338(h)(10) Election Prohibition</w:t>
      </w:r>
      <w:r>
        <w:t xml:space="preserve">: Added provision prohibiting either party from making Section 338(h)(10) election (Section 9.8 of seller-markup-spa.docx)</w:t>
      </w:r>
    </w:p>
    <w:p>
      <w:pPr>
        <w:pStyle w:val="Compact"/>
        <w:numPr>
          <w:ilvl w:val="0"/>
          <w:numId w:val="1035"/>
        </w:numPr>
      </w:pPr>
      <w:r>
        <w:rPr>
          <w:b/>
          <w:bCs/>
        </w:rPr>
        <w:t xml:space="preserve">Tax Representations</w:t>
      </w:r>
      <w:r>
        <w:t xml:space="preserve">: Appears largely unchanged</w:t>
      </w:r>
    </w:p>
    <w:p>
      <w:pPr>
        <w:pStyle w:val="Compact"/>
        <w:numPr>
          <w:ilvl w:val="0"/>
          <w:numId w:val="1035"/>
        </w:numPr>
      </w:pPr>
      <w:r>
        <w:rPr>
          <w:b/>
          <w:bCs/>
        </w:rPr>
        <w:t xml:space="preserve">Tax Covenants</w:t>
      </w:r>
      <w:r>
        <w:t xml:space="preserve">: Appears largely unchanged</w:t>
      </w:r>
    </w:p>
    <w:p>
      <w:pPr>
        <w:pStyle w:val="Heading3"/>
      </w:pPr>
      <w:bookmarkStart w:id="50" w:name="_277500a596d436f2cf7253aff15691955063572"/>
      <w:r>
        <w:t xml:space="preserve">7.3 Playbook Position on Tax Matters</w:t>
      </w:r>
      <w:bookmarkEnd w:id="50"/>
    </w:p>
    <w:p>
      <w:pPr>
        <w:pStyle w:val="Compact"/>
        <w:numPr>
          <w:ilvl w:val="0"/>
          <w:numId w:val="1036"/>
        </w:numPr>
      </w:pPr>
      <w:r>
        <w:t xml:space="preserve">Not explicitly addressed in buyer-negotiation-playbook.docx</w:t>
      </w:r>
    </w:p>
    <w:p>
      <w:pPr>
        <w:pStyle w:val="Compact"/>
        <w:numPr>
          <w:ilvl w:val="0"/>
          <w:numId w:val="1036"/>
        </w:numPr>
      </w:pPr>
      <w:r>
        <w:t xml:space="preserve">Section 338(h)(10) election prohibition is standard seller protection in stock acquisitions</w:t>
      </w:r>
    </w:p>
    <w:p>
      <w:pPr>
        <w:pStyle w:val="Compact"/>
        <w:numPr>
          <w:ilvl w:val="0"/>
          <w:numId w:val="1036"/>
        </w:numPr>
      </w:pPr>
      <w:r>
        <w:t xml:space="preserve">Sellers selling stock (not assets) typically seek to prevent buyers from making Section 338(h)(10) elections</w:t>
      </w:r>
    </w:p>
    <w:p>
      <w:pPr>
        <w:pStyle w:val="Heading3"/>
      </w:pPr>
      <w:bookmarkStart w:id="51" w:name="_a7bb337aff6dcd0f359da01e3bd67977d470205"/>
      <w:r>
        <w:t xml:space="preserve">7.4 Deviation Analysis</w:t>
      </w:r>
      <w:bookmarkEnd w:id="51"/>
    </w:p>
    <w:p>
      <w:pPr>
        <w:pStyle w:val="Compact"/>
        <w:numPr>
          <w:ilvl w:val="0"/>
          <w:numId w:val="1037"/>
        </w:numPr>
      </w:pPr>
      <w:r>
        <w:rPr>
          <w:b/>
          <w:bCs/>
        </w:rPr>
        <w:t xml:space="preserve">Election Prohibition Addition</w:t>
      </w:r>
      <w:r>
        <w:t xml:space="preserve">: Seller adds explicit prohibition on Section 338(h)(10) elections, which is standard seller protection.</w:t>
      </w:r>
    </w:p>
    <w:p>
      <w:pPr>
        <w:pStyle w:val="Compact"/>
        <w:numPr>
          <w:ilvl w:val="0"/>
          <w:numId w:val="1037"/>
        </w:numPr>
      </w:pPr>
      <w:r>
        <w:rPr>
          <w:b/>
          <w:bCs/>
        </w:rPr>
        <w:t xml:space="preserve">Mutual Prohibition</w:t>
      </w:r>
      <w:r>
        <w:t xml:space="preserve">: Provision applies to both buyer and seller, though primary benefit is to seller.</w:t>
      </w:r>
    </w:p>
    <w:p>
      <w:pPr>
        <w:pStyle w:val="Compact"/>
        <w:numPr>
          <w:ilvl w:val="0"/>
          <w:numId w:val="1037"/>
        </w:numPr>
      </w:pPr>
      <w:r>
        <w:rPr>
          <w:b/>
          <w:bCs/>
        </w:rPr>
        <w:t xml:space="preserve">Stock Sale Context</w:t>
      </w:r>
      <w:r>
        <w:t xml:space="preserve">: Appropriate given transaction structured as stock sale, not asset sale.</w:t>
      </w:r>
    </w:p>
    <w:p>
      <w:pPr>
        <w:pStyle w:val="Compact"/>
        <w:numPr>
          <w:ilvl w:val="0"/>
          <w:numId w:val="1037"/>
        </w:numPr>
      </w:pPr>
      <w:r>
        <w:rPr>
          <w:b/>
          <w:bCs/>
        </w:rPr>
        <w:t xml:space="preserve">Tax Advisor Confirmation</w:t>
      </w:r>
      <w:r>
        <w:t xml:space="preserve">: Seller notes tax advisors have confirmed this is customary request (per seller-cover-letter.eml).</w:t>
      </w:r>
    </w:p>
    <w:p>
      <w:pPr>
        <w:pStyle w:val="Heading3"/>
      </w:pPr>
      <w:bookmarkStart w:id="52" w:name="_3aeb0b0576dc68e1d8cf113c1408445753073f5"/>
      <w:r>
        <w:t xml:space="preserve">7.5 Recommendations</w:t>
      </w:r>
      <w:bookmarkEnd w:id="52"/>
    </w:p>
    <w:p>
      <w:pPr>
        <w:pStyle w:val="Compact"/>
        <w:numPr>
          <w:ilvl w:val="0"/>
          <w:numId w:val="1038"/>
        </w:numPr>
      </w:pPr>
      <w:r>
        <w:rPr>
          <w:b/>
          <w:bCs/>
        </w:rPr>
        <w:t xml:space="preserve">Accept Section 338(h)(10) Prohibition</w:t>
      </w:r>
      <w:r>
        <w:t xml:space="preserve">: This is standard seller protection in stock acquisitions and appropriate given transaction structure.</w:t>
      </w:r>
    </w:p>
    <w:p>
      <w:pPr>
        <w:pStyle w:val="Compact"/>
        <w:numPr>
          <w:ilvl w:val="0"/>
          <w:numId w:val="1038"/>
        </w:numPr>
      </w:pPr>
      <w:r>
        <w:rPr>
          <w:b/>
          <w:bCs/>
        </w:rPr>
        <w:t xml:space="preserve">No Counter concession Needed</w:t>
      </w:r>
      <w:r>
        <w:t xml:space="preserve">: Provision does not weaken buyer’s position significantly and aligns with seller’s expectations.</w:t>
      </w:r>
    </w:p>
    <w:p>
      <w:pPr>
        <w:pStyle w:val="Compact"/>
        <w:numPr>
          <w:ilvl w:val="0"/>
          <w:numId w:val="1038"/>
        </w:numPr>
      </w:pPr>
      <w:r>
        <w:rPr>
          <w:b/>
          <w:bCs/>
        </w:rPr>
        <w:t xml:space="preserve">Maintain Tax Representations</w:t>
      </w:r>
      <w:r>
        <w:t xml:space="preserve">: Ensure all standard tax representations and covenants remain intact.</w:t>
      </w:r>
    </w:p>
    <w:p>
      <w:pPr>
        <w:pStyle w:val="Compact"/>
        <w:numPr>
          <w:ilvl w:val="0"/>
          <w:numId w:val="1038"/>
        </w:numPr>
      </w:pPr>
      <w:r>
        <w:rPr>
          <w:b/>
          <w:bCs/>
        </w:rPr>
        <w:t xml:space="preserve">Consider Mutual Benefit</w:t>
      </w:r>
      <w:r>
        <w:t xml:space="preserve">: Note that prohibition also protects buyer from inadvertent elections that could create tax complications.</w:t>
      </w:r>
    </w:p>
    <w:p>
      <w:pPr>
        <w:pStyle w:val="Heading2"/>
      </w:pPr>
      <w:bookmarkStart w:id="53" w:name="_7547de41f9d99b8a7edb2743034b6691565d5a0"/>
      <w:r>
        <w:t xml:space="preserve">8. Closing Conditions Analysis</w:t>
      </w:r>
      <w:bookmarkEnd w:id="53"/>
    </w:p>
    <w:p>
      <w:pPr>
        <w:pStyle w:val="Heading3"/>
      </w:pPr>
      <w:bookmarkStart w:id="54" w:name="_b71ee6caec8da9fc0516481b7bd2ef4fa3519dc"/>
      <w:r>
        <w:t xml:space="preserve">8.1 Original SPA Draft Closing Conditions</w:t>
      </w:r>
      <w:bookmarkEnd w:id="54"/>
    </w:p>
    <w:p>
      <w:pPr>
        <w:pStyle w:val="Compact"/>
        <w:numPr>
          <w:ilvl w:val="0"/>
          <w:numId w:val="1039"/>
        </w:numPr>
      </w:pPr>
      <w:r>
        <w:rPr>
          <w:b/>
          <w:bCs/>
        </w:rPr>
        <w:t xml:space="preserve">Third-Party Consents</w:t>
      </w:r>
      <w:r>
        <w:t xml:space="preserve">: Required consents from Northland Health Systems, Greystone Financial Corp., and Summit Logistics Group as closing conditions (Schedule 2.5(a) of original-spa-draft.docx)</w:t>
      </w:r>
    </w:p>
    <w:p>
      <w:pPr>
        <w:pStyle w:val="Compact"/>
        <w:numPr>
          <w:ilvl w:val="0"/>
          <w:numId w:val="1039"/>
        </w:numPr>
      </w:pPr>
      <w:r>
        <w:rPr>
          <w:b/>
          <w:bCs/>
        </w:rPr>
        <w:t xml:space="preserve">Outside Date</w:t>
      </w:r>
      <w:r>
        <w:t xml:space="preserve">: September 30, 2025 (drop-dead date) (Section 3(3) of original-spa-draft.docx)</w:t>
      </w:r>
    </w:p>
    <w:p>
      <w:pPr>
        <w:pStyle w:val="Compact"/>
        <w:numPr>
          <w:ilvl w:val="0"/>
          <w:numId w:val="1039"/>
        </w:numPr>
      </w:pPr>
      <w:r>
        <w:rPr>
          <w:b/>
          <w:bCs/>
        </w:rPr>
        <w:t xml:space="preserve">Orion Data Consortium</w:t>
      </w:r>
      <w:r>
        <w:t xml:space="preserve">: Consent remains as closing condition (Schedule 2.5(a) of original-spa-draft.docx)</w:t>
      </w:r>
    </w:p>
    <w:p>
      <w:pPr>
        <w:pStyle w:val="Heading3"/>
      </w:pPr>
      <w:bookmarkStart w:id="55" w:name="_7c648f41277e480411af29909e10d166aab8d4b"/>
      <w:r>
        <w:t xml:space="preserve">8.2 Seller’s Markup Closing Conditions</w:t>
      </w:r>
      <w:bookmarkEnd w:id="55"/>
    </w:p>
    <w:p>
      <w:pPr>
        <w:pStyle w:val="Compact"/>
        <w:numPr>
          <w:ilvl w:val="0"/>
          <w:numId w:val="1040"/>
        </w:numPr>
      </w:pPr>
      <w:r>
        <w:rPr>
          <w:b/>
          <w:bCs/>
        </w:rPr>
        <w:t xml:space="preserve">Third-Party Consents</w:t>
      </w:r>
      <w:r>
        <w:t xml:space="preserve">: Changed from closing conditions to covenant requiring sellers to use reasonable best efforts to obtain consents prior to or promptly following closing (Section 6.2 of seller-markup-spa.docx)</w:t>
      </w:r>
    </w:p>
    <w:p>
      <w:pPr>
        <w:pStyle w:val="Compact"/>
        <w:numPr>
          <w:ilvl w:val="0"/>
          <w:numId w:val="1040"/>
        </w:numPr>
      </w:pPr>
      <w:r>
        <w:rPr>
          <w:b/>
          <w:bCs/>
        </w:rPr>
        <w:t xml:space="preserve">Outside Date</w:t>
      </w:r>
      <w:r>
        <w:t xml:space="preserve">: Adjusted to August 31, 2025 (seller-cover-letter.eml)</w:t>
      </w:r>
    </w:p>
    <w:p>
      <w:pPr>
        <w:pStyle w:val="Compact"/>
        <w:numPr>
          <w:ilvl w:val="0"/>
          <w:numId w:val="1040"/>
        </w:numPr>
      </w:pPr>
      <w:r>
        <w:rPr>
          <w:b/>
          <w:bCs/>
        </w:rPr>
        <w:t xml:space="preserve">Orion Data Consortium</w:t>
      </w:r>
      <w:r>
        <w:t xml:space="preserve">: Consent remains as closing condition (Section 6.2 of seller-markup-spa.docx)</w:t>
      </w:r>
    </w:p>
    <w:p>
      <w:pPr>
        <w:pStyle w:val="Heading3"/>
      </w:pPr>
      <w:bookmarkStart w:id="56" w:name="_836b9ea9af5148a0cf45d575cf5c3a7307f6f62"/>
      <w:r>
        <w:t xml:space="preserve">8.3 Playbook Position on Closing Conditions</w:t>
      </w:r>
      <w:bookmarkEnd w:id="56"/>
    </w:p>
    <w:p>
      <w:pPr>
        <w:pStyle w:val="Compact"/>
        <w:numPr>
          <w:ilvl w:val="0"/>
          <w:numId w:val="1041"/>
        </w:numPr>
      </w:pPr>
      <w:r>
        <w:t xml:space="preserve">Not explicitly addressed in buyer-negotiation-playbook.docx</w:t>
      </w:r>
    </w:p>
    <w:p>
      <w:pPr>
        <w:pStyle w:val="Compact"/>
        <w:numPr>
          <w:ilvl w:val="0"/>
          <w:numId w:val="1041"/>
        </w:numPr>
      </w:pPr>
      <w:r>
        <w:t xml:space="preserve">Market practice varies; material consents often remain closing conditions while routine consents may be converted to covenants</w:t>
      </w:r>
    </w:p>
    <w:p>
      <w:pPr>
        <w:pStyle w:val="Compact"/>
        <w:numPr>
          <w:ilvl w:val="0"/>
          <w:numId w:val="1041"/>
        </w:numPr>
      </w:pPr>
      <w:r>
        <w:t xml:space="preserve">Orion Data Consortium consent (material contract) appropriately remains closing condition per seller’s markup</w:t>
      </w:r>
    </w:p>
    <w:p>
      <w:pPr>
        <w:pStyle w:val="Heading3"/>
      </w:pPr>
      <w:bookmarkStart w:id="57" w:name="_dc2ef61a075aaa6574990fd12e31e85943be789"/>
      <w:r>
        <w:t xml:space="preserve">8.4 Deviation Analysis</w:t>
      </w:r>
      <w:bookmarkEnd w:id="57"/>
    </w:p>
    <w:p>
      <w:pPr>
        <w:pStyle w:val="Compact"/>
        <w:numPr>
          <w:ilvl w:val="0"/>
          <w:numId w:val="1042"/>
        </w:numPr>
      </w:pPr>
      <w:r>
        <w:rPr>
          <w:b/>
          <w:bCs/>
        </w:rPr>
        <w:t xml:space="preserve">Consent Condition Change</w:t>
      </w:r>
      <w:r>
        <w:t xml:space="preserve">: Seller changes material third-party consents from closing conditions to reasonable best efforts covenants, reducing closing certainty.</w:t>
      </w:r>
    </w:p>
    <w:p>
      <w:pPr>
        <w:pStyle w:val="Compact"/>
        <w:numPr>
          <w:ilvl w:val="0"/>
          <w:numId w:val="1042"/>
        </w:numPr>
      </w:pPr>
      <w:r>
        <w:rPr>
          <w:b/>
          <w:bCs/>
        </w:rPr>
        <w:t xml:space="preserve">Orion Exception</w:t>
      </w:r>
      <w:r>
        <w:t xml:space="preserve">: Seller appropriately maintains Orion Data Consortium consent as closing condition, recognizing its materiality.</w:t>
      </w:r>
    </w:p>
    <w:p>
      <w:pPr>
        <w:pStyle w:val="Compact"/>
        <w:numPr>
          <w:ilvl w:val="0"/>
          <w:numId w:val="1042"/>
        </w:numPr>
      </w:pPr>
      <w:r>
        <w:rPr>
          <w:b/>
          <w:bCs/>
        </w:rPr>
        <w:t xml:space="preserve">Outside Date Acceleration</w:t>
      </w:r>
      <w:r>
        <w:t xml:space="preserve">: Seller proposes earlier outside date (August 31, 2025 vs. September 30, 2025), potentially increasing pressure to close.</w:t>
      </w:r>
    </w:p>
    <w:p>
      <w:pPr>
        <w:pStyle w:val="Compact"/>
        <w:numPr>
          <w:ilvl w:val="0"/>
          <w:numId w:val="1042"/>
        </w:numPr>
      </w:pPr>
      <w:r>
        <w:rPr>
          <w:b/>
          <w:bCs/>
        </w:rPr>
        <w:t xml:space="preserve">Reasonable Best Efforts Standard</w:t>
      </w:r>
      <w:r>
        <w:t xml:space="preserve">: Uses appropriate standard for consent covenants.</w:t>
      </w:r>
    </w:p>
    <w:p>
      <w:pPr>
        <w:pStyle w:val="Heading3"/>
      </w:pPr>
      <w:bookmarkStart w:id="58" w:name="_bc0d860898df945878e3f53eda83fbb47a9de2d"/>
      <w:r>
        <w:t xml:space="preserve">8.5 Recommendations</w:t>
      </w:r>
      <w:bookmarkEnd w:id="58"/>
    </w:p>
    <w:p>
      <w:pPr>
        <w:pStyle w:val="Compact"/>
        <w:numPr>
          <w:ilvl w:val="0"/>
          <w:numId w:val="1043"/>
        </w:numPr>
      </w:pPr>
      <w:r>
        <w:rPr>
          <w:b/>
          <w:bCs/>
        </w:rPr>
        <w:t xml:space="preserve">Maintain Material Consents as Conditions</w:t>
      </w:r>
      <w:r>
        <w:t xml:space="preserve">: Keep Northland Health Systems, Greystone Financial Corp., and Summit Logistics Group consents as closing conditions (not mere covenants) given their materiality.</w:t>
      </w:r>
    </w:p>
    <w:p>
      <w:pPr>
        <w:pStyle w:val="Compact"/>
        <w:numPr>
          <w:ilvl w:val="0"/>
          <w:numId w:val="1043"/>
        </w:numPr>
      </w:pPr>
      <w:r>
        <w:rPr>
          <w:b/>
          <w:bCs/>
        </w:rPr>
        <w:t xml:space="preserve">Preserve Orion Consent</w:t>
      </w:r>
      <w:r>
        <w:t xml:space="preserve">: Maintain Orion Data Consortium consent as closing condition, as agreed in seller’s markup.</w:t>
      </w:r>
    </w:p>
    <w:p>
      <w:pPr>
        <w:pStyle w:val="Compact"/>
        <w:numPr>
          <w:ilvl w:val="0"/>
          <w:numId w:val="1043"/>
        </w:numPr>
      </w:pPr>
      <w:r>
        <w:rPr>
          <w:b/>
          <w:bCs/>
        </w:rPr>
        <w:t xml:space="preserve">Evaluate Outside Date</w:t>
      </w:r>
      <w:r>
        <w:t xml:space="preserve">: Consider whether earlier outside date (August 31, 2025) provides appropriate closing certainty without being unreasonably aggressive.</w:t>
      </w:r>
    </w:p>
    <w:p>
      <w:pPr>
        <w:pStyle w:val="Compact"/>
        <w:numPr>
          <w:ilvl w:val="0"/>
          <w:numId w:val="1043"/>
        </w:numPr>
      </w:pPr>
      <w:r>
        <w:rPr>
          <w:b/>
          <w:bCs/>
        </w:rPr>
        <w:t xml:space="preserve">Reasonable Best Efforts</w:t>
      </w:r>
      <w:r>
        <w:t xml:space="preserve">: Accept reasonable best efforts standard for any consent covenants, but resist eliminating material consents as conditions.</w:t>
      </w:r>
    </w:p>
    <w:p>
      <w:pPr>
        <w:pStyle w:val="Heading2"/>
      </w:pPr>
      <w:bookmarkStart w:id="59" w:name="_be8028a1e14e6bce3a8b51ab1ecd77baf4ab9f8"/>
      <w:r>
        <w:t xml:space="preserve">9. Employment Agreements Analysis</w:t>
      </w:r>
      <w:bookmarkEnd w:id="59"/>
    </w:p>
    <w:p>
      <w:pPr>
        <w:pStyle w:val="Heading3"/>
      </w:pPr>
      <w:bookmarkStart w:id="60" w:name="_78c7ef110f19f5460e12242b2e6c46cb1dabc6f"/>
      <w:r>
        <w:t xml:space="preserve">9.1 Original SPA Draft Employment Provisions</w:t>
      </w:r>
      <w:bookmarkEnd w:id="60"/>
    </w:p>
    <w:p>
      <w:pPr>
        <w:pStyle w:val="Compact"/>
        <w:numPr>
          <w:ilvl w:val="0"/>
          <w:numId w:val="1044"/>
        </w:numPr>
      </w:pPr>
      <w:r>
        <w:rPr>
          <w:b/>
          <w:bCs/>
        </w:rPr>
        <w:t xml:space="preserve">Founder Employment Agreements</w:t>
      </w:r>
      <w:r>
        <w:t xml:space="preserve">: Key Employees (Rajesh Anand, Priya Deshmukh, Michael Huang) to enter employment agreements with buyer or company (Section 6.6 of original-spa-draft.docx)</w:t>
      </w:r>
    </w:p>
    <w:p>
      <w:pPr>
        <w:pStyle w:val="Compact"/>
        <w:numPr>
          <w:ilvl w:val="0"/>
          <w:numId w:val="1044"/>
        </w:numPr>
      </w:pPr>
      <w:r>
        <w:rPr>
          <w:b/>
          <w:bCs/>
        </w:rPr>
        <w:t xml:space="preserve">Founder Non-Competes</w:t>
      </w:r>
      <w:r>
        <w:t xml:space="preserve">: Key Founders (Anand, Deshmukh) to enter non-compete and non-solicitation agreements (Section 6.7 of original-spa-draft.docx)</w:t>
      </w:r>
    </w:p>
    <w:p>
      <w:pPr>
        <w:pStyle w:val="Compact"/>
        <w:numPr>
          <w:ilvl w:val="0"/>
          <w:numId w:val="1044"/>
        </w:numPr>
      </w:pPr>
      <w:r>
        <w:rPr>
          <w:b/>
          <w:bCs/>
        </w:rPr>
        <w:t xml:space="preserve">Employment Agreement Forms</w:t>
      </w:r>
      <w:r>
        <w:t xml:space="preserve">: Attached as Exhibits D and E</w:t>
      </w:r>
    </w:p>
    <w:p>
      <w:pPr>
        <w:pStyle w:val="Heading3"/>
      </w:pPr>
      <w:bookmarkStart w:id="61" w:name="_babb00572adbdc9c836559dc87ca48c6a72358b"/>
      <w:r>
        <w:t xml:space="preserve">9.2 Seller’s Markup Employment Provisions</w:t>
      </w:r>
      <w:bookmarkEnd w:id="61"/>
    </w:p>
    <w:p>
      <w:pPr>
        <w:pStyle w:val="Compact"/>
        <w:numPr>
          <w:ilvl w:val="0"/>
          <w:numId w:val="1045"/>
        </w:numPr>
      </w:pPr>
      <w:r>
        <w:rPr>
          <w:b/>
          <w:bCs/>
        </w:rPr>
        <w:t xml:space="preserve">Founder Employment Agreements</w:t>
      </w:r>
      <w:r>
        <w:t xml:space="preserve">: Substantially unchanged; Key Employees to enter employment agreements (Section 3.3 of seller-markup-spa.docx)</w:t>
      </w:r>
    </w:p>
    <w:p>
      <w:pPr>
        <w:pStyle w:val="Compact"/>
        <w:numPr>
          <w:ilvl w:val="0"/>
          <w:numId w:val="1045"/>
        </w:numPr>
      </w:pPr>
      <w:r>
        <w:rPr>
          <w:b/>
          <w:bCs/>
        </w:rPr>
        <w:t xml:space="preserve">Founder Non-Competes</w:t>
      </w:r>
      <w:r>
        <w:t xml:space="preserve">: Substantially unchanged; Key Founders to enter non-compete and non-solicitation agreements (Section 3.3 of seller-markup-spa.docx)</w:t>
      </w:r>
    </w:p>
    <w:p>
      <w:pPr>
        <w:pStyle w:val="Compact"/>
        <w:numPr>
          <w:ilvl w:val="0"/>
          <w:numId w:val="1045"/>
        </w:numPr>
      </w:pPr>
      <w:r>
        <w:rPr>
          <w:b/>
          <w:bCs/>
        </w:rPr>
        <w:t xml:space="preserve">Employment Agreement Forms</w:t>
      </w:r>
      <w:r>
        <w:t xml:space="preserve">: Referenced but forms may have been updated per seller’s markup</w:t>
      </w:r>
    </w:p>
    <w:p>
      <w:pPr>
        <w:pStyle w:val="Heading3"/>
      </w:pPr>
      <w:bookmarkStart w:id="62" w:name="_a51dfa81654ac5b3331dda215988c919bff0d5f"/>
      <w:r>
        <w:t xml:space="preserve">9.3 Playbook Position on Employment Agreements</w:t>
      </w:r>
      <w:bookmarkEnd w:id="62"/>
    </w:p>
    <w:p>
      <w:pPr>
        <w:pStyle w:val="Compact"/>
        <w:numPr>
          <w:ilvl w:val="0"/>
          <w:numId w:val="1046"/>
        </w:numPr>
      </w:pPr>
      <w:r>
        <w:t xml:space="preserve">Not explicitly addressed in buyer-negotiation-playbook.docx</w:t>
      </w:r>
    </w:p>
    <w:p>
      <w:pPr>
        <w:pStyle w:val="Compact"/>
        <w:numPr>
          <w:ilvl w:val="0"/>
          <w:numId w:val="1046"/>
        </w:numPr>
      </w:pPr>
      <w:r>
        <w:t xml:space="preserve">Standard practice for key founders and executives to enter employment agreements post-closing</w:t>
      </w:r>
    </w:p>
    <w:p>
      <w:pPr>
        <w:pStyle w:val="Compact"/>
        <w:numPr>
          <w:ilvl w:val="0"/>
          <w:numId w:val="1046"/>
        </w:numPr>
      </w:pPr>
      <w:r>
        <w:t xml:space="preserve">Non-compete and non-solicitation agreements for founders are typical and reasonable</w:t>
      </w:r>
    </w:p>
    <w:p>
      <w:pPr>
        <w:pStyle w:val="Heading3"/>
      </w:pPr>
      <w:bookmarkStart w:id="63" w:name="_e3d9a614b759f76c12e50f2b7a260b739a3b5cc"/>
      <w:r>
        <w:t xml:space="preserve">9.4 Deviation Analysis</w:t>
      </w:r>
      <w:bookmarkEnd w:id="63"/>
    </w:p>
    <w:p>
      <w:pPr>
        <w:pStyle w:val="Compact"/>
        <w:numPr>
          <w:ilvl w:val="0"/>
          <w:numId w:val="1047"/>
        </w:numPr>
      </w:pPr>
      <w:r>
        <w:rPr>
          <w:b/>
          <w:bCs/>
        </w:rPr>
        <w:t xml:space="preserve">Minimal Changes</w:t>
      </w:r>
      <w:r>
        <w:t xml:space="preserve">: Seller’s markup appears to maintain substantially similar employment agreement requirements as original draft.</w:t>
      </w:r>
    </w:p>
    <w:p>
      <w:pPr>
        <w:pStyle w:val="Compact"/>
        <w:numPr>
          <w:ilvl w:val="0"/>
          <w:numId w:val="1047"/>
        </w:numPr>
      </w:pPr>
      <w:r>
        <w:rPr>
          <w:b/>
          <w:bCs/>
        </w:rPr>
        <w:t xml:space="preserve">Form Updates</w:t>
      </w:r>
      <w:r>
        <w:t xml:space="preserve">: Seller indicates they are finalizing updated disclosure schedules and may have updated employment agreement forms.</w:t>
      </w:r>
    </w:p>
    <w:p>
      <w:pPr>
        <w:pStyle w:val="Compact"/>
        <w:numPr>
          <w:ilvl w:val="0"/>
          <w:numId w:val="1047"/>
        </w:numPr>
      </w:pPr>
      <w:r>
        <w:rPr>
          <w:b/>
          <w:bCs/>
        </w:rPr>
        <w:t xml:space="preserve">No Material Deviations</w:t>
      </w:r>
      <w:r>
        <w:t xml:space="preserve">: No significant changes to employment agreement structure or requirements identified in markup.</w:t>
      </w:r>
    </w:p>
    <w:p>
      <w:pPr>
        <w:pStyle w:val="Heading3"/>
      </w:pPr>
      <w:bookmarkStart w:id="64" w:name="_9f0d25e026fb25760b1e83948c41f1040cc68f0"/>
      <w:r>
        <w:t xml:space="preserve">9.5 Recommendations</w:t>
      </w:r>
      <w:bookmarkEnd w:id="64"/>
    </w:p>
    <w:p>
      <w:pPr>
        <w:pStyle w:val="Compact"/>
        <w:numPr>
          <w:ilvl w:val="0"/>
          <w:numId w:val="1048"/>
        </w:numPr>
      </w:pPr>
      <w:r>
        <w:rPr>
          <w:b/>
          <w:bCs/>
        </w:rPr>
        <w:t xml:space="preserve">Maintain Employment Requirements</w:t>
      </w:r>
      <w:r>
        <w:t xml:space="preserve">: Preserve requirement for key employees and founders to enter post-closing employment agreements.</w:t>
      </w:r>
    </w:p>
    <w:p>
      <w:pPr>
        <w:pStyle w:val="Compact"/>
        <w:numPr>
          <w:ilvl w:val="0"/>
          <w:numId w:val="1048"/>
        </w:numPr>
      </w:pPr>
      <w:r>
        <w:rPr>
          <w:b/>
          <w:bCs/>
        </w:rPr>
        <w:t xml:space="preserve">Review Updated Forms</w:t>
      </w:r>
      <w:r>
        <w:t xml:space="preserve">: Examine any updated employment agreement forms to ensure they maintain appropriate protections for buyer.</w:t>
      </w:r>
    </w:p>
    <w:p>
      <w:pPr>
        <w:pStyle w:val="Compact"/>
        <w:numPr>
          <w:ilvl w:val="0"/>
          <w:numId w:val="1048"/>
        </w:numPr>
      </w:pPr>
      <w:r>
        <w:rPr>
          <w:b/>
          <w:bCs/>
        </w:rPr>
        <w:t xml:space="preserve">Standard Market Terms</w:t>
      </w:r>
      <w:r>
        <w:t xml:space="preserve">: Confirm that employment agreement terms align with market standards for similar technology transactions.</w:t>
      </w:r>
    </w:p>
    <w:p>
      <w:pPr>
        <w:pStyle w:val="Heading2"/>
      </w:pPr>
      <w:bookmarkStart w:id="65" w:name="_dbe40c40c602ba3e3b0d7b3330c52a01c4750fe"/>
      <w:r>
        <w:t xml:space="preserve">10. Definitional Changes Analysis</w:t>
      </w:r>
      <w:bookmarkEnd w:id="65"/>
    </w:p>
    <w:p>
      <w:pPr>
        <w:pStyle w:val="Heading3"/>
      </w:pPr>
      <w:bookmarkStart w:id="66" w:name="_879e8e46b3a66bc85948f7f64aed9799dc13d36"/>
      <w:r>
        <w:t xml:space="preserve">10.1 Key Definitional Changes in Seller’s Markup</w:t>
      </w:r>
      <w:bookmarkEnd w:id="66"/>
    </w:p>
    <w:p>
      <w:pPr>
        <w:pStyle w:val="Compact"/>
        <w:numPr>
          <w:ilvl w:val="0"/>
          <w:numId w:val="1049"/>
        </w:numPr>
      </w:pPr>
      <w:r>
        <w:rPr>
          <w:b/>
          <w:bCs/>
        </w:rPr>
        <w:t xml:space="preserve">Acquisition Price</w:t>
      </w:r>
      <w:r>
        <w:t xml:space="preserve">: Changed from $127,500,000 to component-based definition (Closing Cash Consideration + Deferred Consideration + Earnout Amount) (Section 2.5 of seller-markup-spa.docx)</w:t>
      </w:r>
    </w:p>
    <w:p>
      <w:pPr>
        <w:pStyle w:val="Compact"/>
        <w:numPr>
          <w:ilvl w:val="0"/>
          <w:numId w:val="1049"/>
        </w:numPr>
      </w:pPr>
      <w:r>
        <w:rPr>
          <w:b/>
          <w:bCs/>
        </w:rPr>
        <w:t xml:space="preserve">Closing Cash Consideration</w:t>
      </w:r>
      <w:r>
        <w:t xml:space="preserve">: Defined as $102,000,000 (replaces Closing Cash Payment of $112,000,000) (Section 3.1 of seller-markup-spa.docx)</w:t>
      </w:r>
    </w:p>
    <w:p>
      <w:pPr>
        <w:pStyle w:val="Compact"/>
        <w:numPr>
          <w:ilvl w:val="0"/>
          <w:numId w:val="1049"/>
        </w:numPr>
      </w:pPr>
      <w:r>
        <w:rPr>
          <w:b/>
          <w:bCs/>
        </w:rPr>
        <w:t xml:space="preserve">Deferred Consideration</w:t>
      </w:r>
      <w:r>
        <w:t xml:space="preserve">: New term defined as $15,500,000 payable in two $7,750,000 installments (Section 9.2 of seller-markup-spa.docx)</w:t>
      </w:r>
    </w:p>
    <w:p>
      <w:pPr>
        <w:pStyle w:val="Compact"/>
        <w:numPr>
          <w:ilvl w:val="0"/>
          <w:numId w:val="1049"/>
        </w:numPr>
      </w:pPr>
      <w:r>
        <w:rPr>
          <w:b/>
          <w:bCs/>
        </w:rPr>
        <w:t xml:space="preserve">Earnout Amount</w:t>
      </w:r>
      <w:r>
        <w:t xml:space="preserve">: New term defined as up to $10,000,000 payable upon satisfaction of conditions in Section 2.8 (Section 3.1 of seller-markup-spa.docx)</w:t>
      </w:r>
    </w:p>
    <w:p>
      <w:pPr>
        <w:pStyle w:val="Compact"/>
        <w:numPr>
          <w:ilvl w:val="0"/>
          <w:numId w:val="1049"/>
        </w:numPr>
      </w:pPr>
      <w:r>
        <w:rPr>
          <w:b/>
          <w:bCs/>
        </w:rPr>
        <w:t xml:space="preserve">Earnout Period</w:t>
      </w:r>
      <w:r>
        <w:t xml:space="preserve">: Defined as fiscal year ending December 31, 2026 (Section 2.8 of seller-markup-spa.docx)</w:t>
      </w:r>
    </w:p>
    <w:p>
      <w:pPr>
        <w:pStyle w:val="Compact"/>
        <w:numPr>
          <w:ilvl w:val="0"/>
          <w:numId w:val="1049"/>
        </w:numPr>
      </w:pPr>
      <w:r>
        <w:rPr>
          <w:b/>
          <w:bCs/>
        </w:rPr>
        <w:t xml:space="preserve">Earnout Revenue Threshold</w:t>
      </w:r>
      <w:r>
        <w:t xml:space="preserve">: Defined as $72,000,000 Net Revenue (Section 2.8 of seller-markup-spa.docx)</w:t>
      </w:r>
    </w:p>
    <w:p>
      <w:pPr>
        <w:pStyle w:val="Compact"/>
        <w:numPr>
          <w:ilvl w:val="0"/>
          <w:numId w:val="1049"/>
        </w:numPr>
      </w:pPr>
      <w:r>
        <w:rPr>
          <w:b/>
          <w:bCs/>
        </w:rPr>
        <w:t xml:space="preserve">Enterprise Value</w:t>
      </w:r>
      <w:r>
        <w:t xml:space="preserve">: Defined as $138,000,000 (Section 4.9(a) of seller-markup-spa.docx)</w:t>
      </w:r>
    </w:p>
    <w:p>
      <w:pPr>
        <w:pStyle w:val="Compact"/>
        <w:numPr>
          <w:ilvl w:val="0"/>
          <w:numId w:val="1049"/>
        </w:numPr>
      </w:pPr>
      <w:r>
        <w:rPr>
          <w:b/>
          <w:bCs/>
        </w:rPr>
        <w:t xml:space="preserve">Equity Value</w:t>
      </w:r>
      <w:r>
        <w:t xml:space="preserve">: Defined as $127,500,000 (Section 4.9(a) of seller-markup-spa.docx)</w:t>
      </w:r>
    </w:p>
    <w:p>
      <w:pPr>
        <w:pStyle w:val="Compact"/>
        <w:numPr>
          <w:ilvl w:val="0"/>
          <w:numId w:val="1049"/>
        </w:numPr>
      </w:pPr>
      <w:r>
        <w:rPr>
          <w:b/>
          <w:bCs/>
        </w:rPr>
        <w:t xml:space="preserve">Indebtedness</w:t>
      </w:r>
      <w:r>
        <w:t xml:space="preserve">: Includes specific references to $14,300,000 term loan and $1,200,000 capital lease obligations (Section 3(3) of seller-markup-spa.docx)</w:t>
      </w:r>
    </w:p>
    <w:p>
      <w:pPr>
        <w:pStyle w:val="Compact"/>
        <w:numPr>
          <w:ilvl w:val="0"/>
          <w:numId w:val="1049"/>
        </w:numPr>
      </w:pPr>
      <w:r>
        <w:rPr>
          <w:b/>
          <w:bCs/>
        </w:rPr>
        <w:t xml:space="preserve">Knowledge of the Sellers</w:t>
      </w:r>
      <w:r>
        <w:t xml:space="preserve">: Limited to Rajesh Anand and Priya Deshmukh (excludes CFO Michael Huang and VP Engineering Sonia Patel) (Section 414(b) of seller-markup-spa.docx)</w:t>
      </w:r>
    </w:p>
    <w:p>
      <w:pPr>
        <w:pStyle w:val="Compact"/>
        <w:numPr>
          <w:ilvl w:val="0"/>
          <w:numId w:val="1049"/>
        </w:numPr>
      </w:pPr>
      <w:r>
        <w:rPr>
          <w:b/>
          <w:bCs/>
        </w:rPr>
        <w:t xml:space="preserve">Net Working Capital Target</w:t>
      </w:r>
      <w:r>
        <w:t xml:space="preserve">: Defined as $8,400,000 (unchanged) (Section 2.3(b) of seller-markup-spa.docx)</w:t>
      </w:r>
    </w:p>
    <w:p>
      <w:pPr>
        <w:pStyle w:val="Compact"/>
        <w:numPr>
          <w:ilvl w:val="0"/>
          <w:numId w:val="1049"/>
        </w:numPr>
      </w:pPr>
      <w:r>
        <w:rPr>
          <w:b/>
          <w:bCs/>
        </w:rPr>
        <w:t xml:space="preserve">NWC Collar</w:t>
      </w:r>
      <w:r>
        <w:t xml:space="preserve">: Increased from $200,000 to $500,000 (Section 2.3(b) of seller-markup-spa.docx)</w:t>
      </w:r>
    </w:p>
    <w:p>
      <w:pPr>
        <w:pStyle w:val="Compact"/>
        <w:numPr>
          <w:ilvl w:val="0"/>
          <w:numId w:val="1049"/>
        </w:numPr>
      </w:pPr>
      <w:r>
        <w:rPr>
          <w:b/>
          <w:bCs/>
        </w:rPr>
        <w:t xml:space="preserve">Reverse Break-Up Fee</w:t>
      </w:r>
      <w:r>
        <w:t xml:space="preserve">: Defined as $6,375,000 (5% of equity value) (Section 9.6(a) of seller-markup-spa.docx)</w:t>
      </w:r>
    </w:p>
    <w:p>
      <w:pPr>
        <w:pStyle w:val="Compact"/>
        <w:numPr>
          <w:ilvl w:val="0"/>
          <w:numId w:val="1049"/>
        </w:numPr>
      </w:pPr>
      <w:r>
        <w:rPr>
          <w:b/>
          <w:bCs/>
        </w:rPr>
        <w:t xml:space="preserve">Sellers</w:t>
      </w:r>
      <w:r>
        <w:t xml:space="preserve">: Redefined to include only Rajesh Anand and Priya Deshmukh (excludes other sellers) (Section 9.6(a) of seller-markup-spa.docx)</w:t>
      </w:r>
    </w:p>
    <w:p>
      <w:pPr>
        <w:pStyle w:val="Compact"/>
        <w:numPr>
          <w:ilvl w:val="0"/>
          <w:numId w:val="1049"/>
        </w:numPr>
      </w:pPr>
      <w:r>
        <w:rPr>
          <w:b/>
          <w:bCs/>
        </w:rPr>
        <w:t xml:space="preserve">Transaction Expenses</w:t>
      </w:r>
      <w:r>
        <w:t xml:space="preserve">: Reference retained but context changed (Section 2.5 of seller-markup-spa.docx)</w:t>
      </w:r>
    </w:p>
    <w:p>
      <w:pPr>
        <w:pStyle w:val="Heading3"/>
      </w:pPr>
      <w:bookmarkStart w:id="67" w:name="_bcbbe5684e737fd52add73c5850bc595246332d"/>
      <w:r>
        <w:t xml:space="preserve">10.2 Playbook Position on Definitional Changes</w:t>
      </w:r>
      <w:bookmarkEnd w:id="67"/>
    </w:p>
    <w:p>
      <w:pPr>
        <w:pStyle w:val="Compact"/>
        <w:numPr>
          <w:ilvl w:val="0"/>
          <w:numId w:val="1050"/>
        </w:numPr>
      </w:pPr>
      <w:r>
        <w:rPr>
          <w:b/>
          <w:bCs/>
        </w:rPr>
        <w:t xml:space="preserve">Knowledge Group</w:t>
      </w:r>
      <w:r>
        <w:t xml:space="preserve">: Must-Have: Seller knowledge qualifier defined as</w:t>
      </w:r>
      <w:r>
        <w:t xml:space="preserve"> </w:t>
      </w:r>
      <w:r>
        <w:t xml:space="preserve">“actual knowledge after reasonable inquiry”</w:t>
      </w:r>
      <w:r>
        <w:t xml:space="preserve"> </w:t>
      </w:r>
      <w:r>
        <w:t xml:space="preserve">with minimum four persons: Rajesh Anand, Priya Deshmukh, Michael Huang (CFO), and Sonia Patel (VP Engineering) (Section 3.2 of buyer-negotiation-playbook.docx)</w:t>
      </w:r>
    </w:p>
    <w:p>
      <w:pPr>
        <w:pStyle w:val="Compact"/>
        <w:numPr>
          <w:ilvl w:val="0"/>
          <w:numId w:val="1050"/>
        </w:numPr>
      </w:pPr>
      <w:r>
        <w:rPr>
          <w:b/>
          <w:bCs/>
        </w:rPr>
        <w:t xml:space="preserve">Walk-Away Position</w:t>
      </w:r>
      <w:r>
        <w:t xml:space="preserve">:</w:t>
      </w:r>
      <w:r>
        <w:t xml:space="preserve"> </w:t>
      </w:r>
      <w:r>
        <w:t xml:space="preserve">“Reasonable inquiry”</w:t>
      </w:r>
      <w:r>
        <w:t xml:space="preserve"> </w:t>
      </w:r>
      <w:r>
        <w:t xml:space="preserve">must remain; minimum knowledge group is the four named individuals (C-suite plus department heads with operational knowledge) (Section 3.2 of buyer-negotiation-playbook.docx)</w:t>
      </w:r>
    </w:p>
    <w:p>
      <w:pPr>
        <w:pStyle w:val="Heading3"/>
      </w:pPr>
      <w:bookmarkStart w:id="68" w:name="_14d3daa09dc666b2a75edb43b3d8c600460e7f1"/>
      <w:r>
        <w:t xml:space="preserve">10.3 Deviation Analysis</w:t>
      </w:r>
      <w:bookmarkEnd w:id="68"/>
    </w:p>
    <w:p>
      <w:pPr>
        <w:pStyle w:val="Compact"/>
        <w:numPr>
          <w:ilvl w:val="0"/>
          <w:numId w:val="1051"/>
        </w:numPr>
      </w:pPr>
      <w:r>
        <w:rPr>
          <w:b/>
          <w:bCs/>
        </w:rPr>
        <w:t xml:space="preserve">Knowledge Group Reduction</w:t>
      </w:r>
      <w:r>
        <w:t xml:space="preserve">: Seller limits knowledge group to only Rajesh Anand and Priya Deshmukh, excluding CFO Michael Huang and VP Engineering Sonia Patel, directly contradicting playbook must-have requirement.</w:t>
      </w:r>
    </w:p>
    <w:p>
      <w:pPr>
        <w:pStyle w:val="Compact"/>
        <w:numPr>
          <w:ilvl w:val="0"/>
          <w:numId w:val="1051"/>
        </w:numPr>
      </w:pPr>
      <w:r>
        <w:rPr>
          <w:b/>
          <w:bCs/>
        </w:rPr>
        <w:t xml:space="preserve">Consideration Restructuring</w:t>
      </w:r>
      <w:r>
        <w:t xml:space="preserve">: Seller replaces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2026-10-19T22:54:30Z</dcterms:created>
  <dcterms:modified xsi:type="dcterms:W3CDTF">2026-10-19T22:54:30Z</dcterms:modified>
</cp:coreProperties>
</file>

<file path=docProps/custom.xml><?xml version="1.0" encoding="utf-8"?>
<Properties xmlns="http://schemas.openxmlformats.org/officeDocument/2006/custom-properties" xmlns:vt="http://schemas.openxmlformats.org/officeDocument/2006/docPropsVTypes"/>
</file>