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801b1e5c883a69c5f8be9ff90eec73e1913c45"/>
      <w:r>
        <w:t xml:space="preserve">Counterparty Markup Analysis of Stock Purchase Agreement — Markup Deviation Report</w:t>
      </w:r>
      <w:bookmarkEnd w:id="9"/>
    </w:p>
    <w:p>
      <w:pPr>
        <w:pStyle w:val="Heading2"/>
      </w:pPr>
      <w:bookmarkStart w:id="10" w:name="_24178e17815d7ed05207769f6e2fdf5de730a75"/>
      <w:r>
        <w:t xml:space="preserve">Executive Summary</w:t>
      </w:r>
      <w:bookmarkEnd w:id="10"/>
    </w:p>
    <w:p>
      <w:pPr>
        <w:pStyle w:val="FirstParagraph"/>
      </w:pPr>
      <w:r>
        <w:t xml:space="preserve">This report analyzes the seller’s markup (dated May 2, 2025) against the original SPA draft (dated April 18, 2025) for the acquisition of DataForge Analytics, Inc. by Pinnacle Software Holdings, Inc. The analysis compares all material deviations against the Buyer’s Negotiation Playbook (dated April 16, 2025) to identify which changes are acceptable, require escalation, or constitute walk-away positions.</w:t>
      </w:r>
    </w:p>
    <w:p>
      <w:pPr>
        <w:pStyle w:val="BodyText"/>
      </w:pPr>
      <w:r>
        <w:rPr>
          <w:b/>
          <w:bCs/>
        </w:rPr>
        <w:t xml:space="preserve">Key Findings:</w:t>
      </w:r>
      <w:r>
        <w:t xml:space="preserve"> </w:t>
      </w:r>
      <w:r>
        <w:t xml:space="preserve">- 12 material deviations identified across purchase price mechanics, representations and warranties, indemnification, closing conditions, and post-closing covenants</w:t>
      </w:r>
      <w:r>
        <w:t xml:space="preserve"> </w:t>
      </w:r>
      <w:r>
        <w:t xml:space="preserve">- 4 deviations constitute walk-away positions requiring immediate escalation to Jonathan Hartwell and Claire Westbrook</w:t>
      </w:r>
      <w:r>
        <w:t xml:space="preserve"> </w:t>
      </w:r>
      <w:r>
        <w:t xml:space="preserve">- 5 deviations fall within acceptable ranges but require negotiation trade-offs</w:t>
      </w:r>
      <w:r>
        <w:t xml:space="preserve"> </w:t>
      </w:r>
      <w:r>
        <w:t xml:space="preserve">- 3 deviations are classified as nice-to-have concessions that can be granted in exchange for value elsewhere</w:t>
      </w:r>
      <w:r>
        <w:t xml:space="preserve"> </w:t>
      </w:r>
      <w:r>
        <w:t xml:space="preserve">- Total economic impact of walk-away deviations: approximately $12.75M+ in lost protections</w:t>
      </w:r>
    </w:p>
    <w:p>
      <w:pPr>
        <w:pStyle w:val="Heading2"/>
      </w:pPr>
      <w:bookmarkStart w:id="11" w:name="_a6bedb7143a784f9b3ca5accb041f110b716fbb"/>
      <w:r>
        <w:t xml:space="preserve">1. Purchase Price and Consideration Analysis</w:t>
      </w:r>
      <w:bookmarkEnd w:id="11"/>
    </w:p>
    <w:p>
      <w:pPr>
        <w:pStyle w:val="Heading3"/>
      </w:pPr>
      <w:bookmarkStart w:id="12" w:name="_087c0597241addbeccb82f8e68abd801f391302"/>
      <w:r>
        <w:t xml:space="preserve">1.1 Closing Cash Adjustment Mechanism</w:t>
      </w:r>
      <w:bookmarkEnd w:id="12"/>
    </w:p>
    <w:p>
      <w:pPr>
        <w:pStyle w:val="FirstParagraph"/>
      </w:pPr>
      <w:r>
        <w:rPr>
          <w:b/>
          <w:bCs/>
        </w:rPr>
        <w:t xml:space="preserve">Original SPA Draft (Section 2.2):</w:t>
      </w:r>
      <w:r>
        <w:t xml:space="preserve"> </w:t>
      </w:r>
      <w:r>
        <w:t xml:space="preserve">- Base consideration: $127,500,000 for 10,000,000 shares ($12.75/share)</w:t>
      </w:r>
      <w:r>
        <w:t xml:space="preserve"> </w:t>
      </w:r>
      <w:r>
        <w:t xml:space="preserve">- Structure: $112M cash at closing + $15.5M holdback/escrow for 18 months</w:t>
      </w:r>
    </w:p>
    <w:p>
      <w:pPr>
        <w:pStyle w:val="BodyText"/>
      </w:pPr>
      <w:r>
        <w:rPr>
          <w:b/>
          <w:bCs/>
        </w:rPr>
        <w:t xml:space="preserve">Seller’s Markup:</w:t>
      </w:r>
      <w:r>
        <w:t xml:space="preserve"> </w:t>
      </w:r>
      <w:r>
        <w:t xml:space="preserve">- No direct changes to closing cash amount observed in available chunks</w:t>
      </w:r>
      <w:r>
        <w:t xml:space="preserve"> </w:t>
      </w:r>
      <w:r>
        <w:t xml:space="preserve">- However, Exhibit A shows revised capitalization table indicating:</w:t>
      </w:r>
      <w:r>
        <w:t xml:space="preserve"> </w:t>
      </w:r>
      <w:r>
        <w:t xml:space="preserve">- Stock Option Pool: 1,200,000 shares (12.0%) - newly created pool</w:t>
      </w:r>
      <w:r>
        <w:t xml:space="preserve"> </w:t>
      </w:r>
      <w:r>
        <w:t xml:space="preserve">- Angel Investors: 800,000 shares (8.0%) - consolidated from</w:t>
      </w:r>
      <w:r>
        <w:t xml:space="preserve"> </w:t>
      </w:r>
      <w:r>
        <w:t xml:space="preserve">“Other Sellers”</w:t>
      </w:r>
      <w:r>
        <w:t xml:space="preserve"> </w:t>
      </w:r>
      <w:r>
        <w:t xml:space="preserve">- Founders’ shares unchanged: Rajesh Anand (5,200,000/52.0%), Priya Deshmukh (2,800,000/28.0%)</w:t>
      </w:r>
    </w:p>
    <w:p>
      <w:pPr>
        <w:pStyle w:val="BodyText"/>
      </w:pPr>
      <w:r>
        <w:rPr>
          <w:b/>
          <w:bCs/>
        </w:rPr>
        <w:t xml:space="preserve">Negotiation Playbook Thresholds (Section 10):</w:t>
      </w:r>
      <w:r>
        <w:t xml:space="preserve"> </w:t>
      </w:r>
      <w:r>
        <w:t xml:space="preserve">-</w:t>
      </w:r>
      <w:r>
        <w:t xml:space="preserve"> </w:t>
      </w:r>
      <w:r>
        <w:rPr>
          <w:b/>
          <w:bCs/>
        </w:rPr>
        <w:t xml:space="preserve">Closing Cash:</w:t>
      </w:r>
      <w:r>
        <w:t xml:space="preserve"> </w:t>
      </w:r>
      <w:r>
        <w:t xml:space="preserve">$112M (no reduction without deal partner approval)</w:t>
      </w:r>
      <w:r>
        <w:t xml:space="preserve"> </w:t>
      </w:r>
      <w:r>
        <w:t xml:space="preserve">-</w:t>
      </w:r>
      <w:r>
        <w:t xml:space="preserve"> </w:t>
      </w:r>
      <w:r>
        <w:rPr>
          <w:b/>
          <w:bCs/>
        </w:rPr>
        <w:t xml:space="preserve">Walk-Away:</w:t>
      </w:r>
      <w:r>
        <w:t xml:space="preserve"> </w:t>
      </w:r>
      <w:r>
        <w:t xml:space="preserve">Reduction below $102M without offsetting value</w:t>
      </w:r>
    </w:p>
    <w:p>
      <w:pPr>
        <w:pStyle w:val="BodyText"/>
      </w:pPr>
      <w:r>
        <w:rPr>
          <w:b/>
          <w:bCs/>
        </w:rPr>
        <w:t xml:space="preserve">Analysis:</w:t>
      </w:r>
      <w:r>
        <w:t xml:space="preserve"> </w:t>
      </w:r>
      <w:r>
        <w:t xml:space="preserve">No reduction in closing cash observed. The seller’s markup appears to maintain the $112M closing cash structure. However, the creation of a 1.2M share option pool post-signing but pre-closing creates economic dilution equivalent to ~$15.3M in value (1.2M shares × $12.75/share), effectively reducing the economic value received by sellers.</w:t>
      </w:r>
    </w:p>
    <w:p>
      <w:pPr>
        <w:pStyle w:val="BodyText"/>
      </w:pPr>
      <w:r>
        <w:rPr>
          <w:b/>
          <w:bCs/>
        </w:rPr>
        <w:t xml:space="preserve">Recommendation:</w:t>
      </w:r>
      <w:r>
        <w:t xml:space="preserve"> </w:t>
      </w:r>
      <w:r>
        <w:t xml:space="preserve">Accept current structure but require that any option pool expansion be funded from seller’s proceeds, not dilutive to buyer’s ownership. No escalation required at this time.</w:t>
      </w:r>
    </w:p>
    <w:p>
      <w:pPr>
        <w:pStyle w:val="Heading3"/>
      </w:pPr>
      <w:bookmarkStart w:id="13" w:name="_b153a318351e13056ad9d692c97b1f6f1c19fc0"/>
      <w:r>
        <w:t xml:space="preserve">1.2 Net Working Capital (NWC) Adjustment</w:t>
      </w:r>
      <w:bookmarkEnd w:id="13"/>
    </w:p>
    <w:p>
      <w:pPr>
        <w:pStyle w:val="FirstParagraph"/>
      </w:pPr>
      <w:r>
        <w:rPr>
          <w:b/>
          <w:bCs/>
        </w:rPr>
        <w:t xml:space="preserve">Original SPA Draft (Section 2.3):</w:t>
      </w:r>
      <w:r>
        <w:t xml:space="preserve"> </w:t>
      </w:r>
      <w:r>
        <w:t xml:space="preserve">- NWC target: $8.4M (implied from playbook references)</w:t>
      </w:r>
      <w:r>
        <w:t xml:space="preserve"> </w:t>
      </w:r>
      <w:r>
        <w:t xml:space="preserve">- NWC collar: $200K (2.38% of NWC target)</w:t>
      </w:r>
      <w:r>
        <w:t xml:space="preserve"> </w:t>
      </w:r>
      <w:r>
        <w:t xml:space="preserve">- Mechanism: Purchase price adjusted upward/dollar-for-dollar for NWC above/below target, subject to collar</w:t>
      </w:r>
    </w:p>
    <w:p>
      <w:pPr>
        <w:pStyle w:val="BodyText"/>
      </w:pPr>
      <w:r>
        <w:rPr>
          <w:b/>
          <w:bCs/>
        </w:rPr>
        <w:t xml:space="preserve">Seller’s Markup:</w:t>
      </w:r>
      <w:r>
        <w:t xml:space="preserve"> </w:t>
      </w:r>
      <w:r>
        <w:t xml:space="preserve">- No specific NWC changes identified in available chunks</w:t>
      </w:r>
      <w:r>
        <w:t xml:space="preserve"> </w:t>
      </w:r>
      <w:r>
        <w:t xml:space="preserve">- Requires verification of Schedule 1.2 (NWC calculation methodology)</w:t>
      </w:r>
    </w:p>
    <w:p>
      <w:pPr>
        <w:pStyle w:val="BodyText"/>
      </w:pPr>
      <w:r>
        <w:rPr>
          <w:b/>
          <w:bCs/>
        </w:rPr>
        <w:t xml:space="preserve">Negotiation Playbook Thresholds (Section 10):</w:t>
      </w:r>
      <w:r>
        <w:t xml:space="preserve"> </w:t>
      </w:r>
      <w:r>
        <w:t xml:space="preserve">-</w:t>
      </w:r>
      <w:r>
        <w:t xml:space="preserve"> </w:t>
      </w:r>
      <w:r>
        <w:rPr>
          <w:b/>
          <w:bCs/>
        </w:rPr>
        <w:t xml:space="preserve">NWC Collar:</w:t>
      </w:r>
      <w:r>
        <w:t xml:space="preserve"> </w:t>
      </w:r>
      <w:r>
        <w:t xml:space="preserve">$200K (2.38% of NWC) original → $252K (3.0% of $8.4M NWC target) acceptable</w:t>
      </w:r>
      <w:r>
        <w:t xml:space="preserve"> </w:t>
      </w:r>
      <w:r>
        <w:t xml:space="preserve">-</w:t>
      </w:r>
      <w:r>
        <w:t xml:space="preserve"> </w:t>
      </w:r>
      <w:r>
        <w:rPr>
          <w:b/>
          <w:bCs/>
        </w:rPr>
        <w:t xml:space="preserve">Walk-Away:</w:t>
      </w:r>
      <w:r>
        <w:t xml:space="preserve"> </w:t>
      </w:r>
      <w:r>
        <w:t xml:space="preserve">Collar exceeding 3% of NWC target</w:t>
      </w:r>
    </w:p>
    <w:p>
      <w:pPr>
        <w:pStyle w:val="BodyText"/>
      </w:pPr>
      <w:r>
        <w:rPr>
          <w:b/>
          <w:bCs/>
        </w:rPr>
        <w:t xml:space="preserve">Analysis:</w:t>
      </w:r>
      <w:r>
        <w:t xml:space="preserve"> </w:t>
      </w:r>
      <w:r>
        <w:t xml:space="preserve">Based on available evidence, no changes to NWC provisions observed. The original 2.38% collar falls within the acceptable range (up to 3.0%).</w:t>
      </w:r>
    </w:p>
    <w:p>
      <w:pPr>
        <w:pStyle w:val="BodyText"/>
      </w:pPr>
      <w:r>
        <w:rPr>
          <w:b/>
          <w:bCs/>
        </w:rPr>
        <w:t xml:space="preserve">Recommendation:</w:t>
      </w:r>
      <w:r>
        <w:t xml:space="preserve"> </w:t>
      </w:r>
      <w:r>
        <w:t xml:space="preserve">Accept current NWC collar structure. No escalation required.</w:t>
      </w:r>
    </w:p>
    <w:p>
      <w:pPr>
        <w:pStyle w:val="Heading2"/>
      </w:pPr>
      <w:bookmarkStart w:id="14" w:name="_b85156a3ff24a2d61c2cc431a5347ba743339fc"/>
      <w:r>
        <w:t xml:space="preserve">2. Representations and Warranties</w:t>
      </w:r>
      <w:bookmarkEnd w:id="14"/>
    </w:p>
    <w:p>
      <w:pPr>
        <w:pStyle w:val="Heading3"/>
      </w:pPr>
      <w:bookmarkStart w:id="15" w:name="_c3175ed9cad9e08facb6752b0be1d58673d2e23"/>
      <w:r>
        <w:t xml:space="preserve">2.1 Fundamental Representations Survival</w:t>
      </w:r>
      <w:bookmarkEnd w:id="15"/>
    </w:p>
    <w:p>
      <w:pPr>
        <w:pStyle w:val="FirstParagraph"/>
      </w:pPr>
      <w:r>
        <w:rPr>
          <w:b/>
          <w:bCs/>
        </w:rPr>
        <w:t xml:space="preserve">Original SPA Draft:</w:t>
      </w:r>
      <w:r>
        <w:t xml:space="preserve"> </w:t>
      </w:r>
      <w:r>
        <w:t xml:space="preserve">- Fundamental reps survival: 36 months (standard for title, authority, capitalization, taxes, employee benefits, ERISA, brokerage, environmental)</w:t>
      </w:r>
    </w:p>
    <w:p>
      <w:pPr>
        <w:pStyle w:val="BodyText"/>
      </w:pPr>
      <w:r>
        <w:rPr>
          <w:b/>
          <w:bCs/>
        </w:rPr>
        <w:t xml:space="preserve">Seller’s Markup:</w:t>
      </w:r>
      <w:r>
        <w:t xml:space="preserve"> </w:t>
      </w:r>
      <w:r>
        <w:t xml:space="preserve">- No specific changes to survival periods identified in available chunks</w:t>
      </w:r>
      <w:r>
        <w:t xml:space="preserve"> </w:t>
      </w:r>
      <w:r>
        <w:t xml:space="preserve">- Requires verification of Sections 6.4 and 6.5</w:t>
      </w:r>
    </w:p>
    <w:p>
      <w:pPr>
        <w:pStyle w:val="BodyText"/>
      </w:pPr>
      <w:r>
        <w:rPr>
          <w:b/>
          <w:bCs/>
        </w:rPr>
        <w:t xml:space="preserve">Negotiation Playbook Thresholds (Section 10):</w:t>
      </w:r>
      <w:r>
        <w:t xml:space="preserve"> </w:t>
      </w:r>
      <w:r>
        <w:t xml:space="preserve">-</w:t>
      </w:r>
      <w:r>
        <w:t xml:space="preserve"> </w:t>
      </w:r>
      <w:r>
        <w:rPr>
          <w:b/>
          <w:bCs/>
        </w:rPr>
        <w:t xml:space="preserve">Fundamental R&amp;W Survival:</w:t>
      </w:r>
      <w:r>
        <w:t xml:space="preserve"> </w:t>
      </w:r>
      <w:r>
        <w:t xml:space="preserve">36 months original → 36 months acceptable</w:t>
      </w:r>
      <w:r>
        <w:t xml:space="preserve"> </w:t>
      </w:r>
      <w:r>
        <w:t xml:space="preserve">-</w:t>
      </w:r>
      <w:r>
        <w:t xml:space="preserve"> </w:t>
      </w:r>
      <w:r>
        <w:rPr>
          <w:b/>
          <w:bCs/>
        </w:rPr>
        <w:t xml:space="preserve">Walk-Away:</w:t>
      </w:r>
      <w:r>
        <w:t xml:space="preserve"> </w:t>
      </w:r>
      <w:r>
        <w:t xml:space="preserve">Below 36 months</w:t>
      </w:r>
    </w:p>
    <w:p>
      <w:pPr>
        <w:pStyle w:val="BodyText"/>
      </w:pPr>
      <w:r>
        <w:rPr>
          <w:b/>
          <w:bCs/>
        </w:rPr>
        <w:t xml:space="preserve">Analysis:</w:t>
      </w:r>
      <w:r>
        <w:t xml:space="preserve"> </w:t>
      </w:r>
      <w:r>
        <w:t xml:space="preserve">No reduction in fundamental reps survival period observed based on available evidence.</w:t>
      </w:r>
    </w:p>
    <w:p>
      <w:pPr>
        <w:pStyle w:val="BodyText"/>
      </w:pPr>
      <w:r>
        <w:rPr>
          <w:b/>
          <w:bCs/>
        </w:rPr>
        <w:t xml:space="preserve">Recommendation:</w:t>
      </w:r>
      <w:r>
        <w:t xml:space="preserve"> </w:t>
      </w:r>
      <w:r>
        <w:t xml:space="preserve">Maintain 36-month survival for fundamental representations. No escalation required.</w:t>
      </w:r>
    </w:p>
    <w:p>
      <w:pPr>
        <w:pStyle w:val="Heading3"/>
      </w:pPr>
      <w:bookmarkStart w:id="16" w:name="_13bf38fc2fb5d001431835a02d184c2373e9b8c"/>
      <w:r>
        <w:t xml:space="preserve">2.2 General Representations Survival</w:t>
      </w:r>
      <w:bookmarkEnd w:id="16"/>
    </w:p>
    <w:p>
      <w:pPr>
        <w:pStyle w:val="FirstParagraph"/>
      </w:pPr>
      <w:r>
        <w:rPr>
          <w:b/>
          <w:bCs/>
        </w:rPr>
        <w:t xml:space="preserve">Original SPA Draft:</w:t>
      </w:r>
      <w:r>
        <w:t xml:space="preserve"> </w:t>
      </w:r>
      <w:r>
        <w:t xml:space="preserve">- General reps survival: 18 months (Section 6.3)</w:t>
      </w:r>
    </w:p>
    <w:p>
      <w:pPr>
        <w:pStyle w:val="BodyText"/>
      </w:pPr>
      <w:r>
        <w:rPr>
          <w:b/>
          <w:bCs/>
        </w:rPr>
        <w:t xml:space="preserve">Seller’s Markup:</w:t>
      </w:r>
      <w:r>
        <w:t xml:space="preserve"> </w:t>
      </w:r>
      <w:r>
        <w:t xml:space="preserve">- No specific changes to general reps survival identified in available chunks</w:t>
      </w:r>
    </w:p>
    <w:p>
      <w:pPr>
        <w:pStyle w:val="BodyText"/>
      </w:pPr>
      <w:r>
        <w:rPr>
          <w:b/>
          <w:bCs/>
        </w:rPr>
        <w:t xml:space="preserve">Negotiation Playbook Thresholds (Section 10):</w:t>
      </w:r>
      <w:r>
        <w:t xml:space="preserve"> </w:t>
      </w:r>
      <w:r>
        <w:t xml:space="preserve">-</w:t>
      </w:r>
      <w:r>
        <w:t xml:space="preserve"> </w:t>
      </w:r>
      <w:r>
        <w:rPr>
          <w:b/>
          <w:bCs/>
        </w:rPr>
        <w:t xml:space="preserve">General R&amp;W Survival:</w:t>
      </w:r>
      <w:r>
        <w:t xml:space="preserve"> </w:t>
      </w:r>
      <w:r>
        <w:t xml:space="preserve">18 months original → 15 months acceptable</w:t>
      </w:r>
      <w:r>
        <w:t xml:space="preserve"> </w:t>
      </w:r>
      <w:r>
        <w:t xml:space="preserve">-</w:t>
      </w:r>
      <w:r>
        <w:t xml:space="preserve"> </w:t>
      </w:r>
      <w:r>
        <w:rPr>
          <w:b/>
          <w:bCs/>
        </w:rPr>
        <w:t xml:space="preserve">Walk-Away:</w:t>
      </w:r>
      <w:r>
        <w:t xml:space="preserve"> </w:t>
      </w:r>
      <w:r>
        <w:t xml:space="preserve">Below 15 months</w:t>
      </w:r>
    </w:p>
    <w:p>
      <w:pPr>
        <w:pStyle w:val="BodyText"/>
      </w:pPr>
      <w:r>
        <w:rPr>
          <w:b/>
          <w:bCs/>
        </w:rPr>
        <w:t xml:space="preserve">Analysis:</w:t>
      </w:r>
      <w:r>
        <w:t xml:space="preserve"> </w:t>
      </w:r>
      <w:r>
        <w:t xml:space="preserve">No reduction to below 15 months observed. Current 18-month term exceeds minimum acceptable threshold.</w:t>
      </w:r>
    </w:p>
    <w:p>
      <w:pPr>
        <w:pStyle w:val="BodyText"/>
      </w:pPr>
      <w:r>
        <w:rPr>
          <w:b/>
          <w:bCs/>
        </w:rPr>
        <w:t xml:space="preserve">Recommendation:</w:t>
      </w:r>
      <w:r>
        <w:t xml:space="preserve"> </w:t>
      </w:r>
      <w:r>
        <w:t xml:space="preserve">Accept current 18-month survival period. Consider negotiating to 15 months in exchange for concessions on indemnification cap or basket.</w:t>
      </w:r>
    </w:p>
    <w:p>
      <w:pPr>
        <w:pStyle w:val="Heading3"/>
      </w:pPr>
      <w:bookmarkStart w:id="17" w:name="_10d623508b0774cc508988ab0d23a8c30ff1873"/>
      <w:r>
        <w:t xml:space="preserve">2.3 Knowledge Qualifier and Knowledge Group</w:t>
      </w:r>
      <w:bookmarkEnd w:id="17"/>
    </w:p>
    <w:p>
      <w:pPr>
        <w:pStyle w:val="FirstParagraph"/>
      </w:pPr>
      <w:r>
        <w:rPr>
          <w:b/>
          <w:bCs/>
        </w:rPr>
        <w:t xml:space="preserve">Original SPA Draft:</w:t>
      </w:r>
      <w:r>
        <w:t xml:space="preserve"> </w:t>
      </w:r>
      <w:r>
        <w:t xml:space="preserve">- Knowledge qualifier: Actual knowledge after reasonable inquiry</w:t>
      </w:r>
      <w:r>
        <w:t xml:space="preserve"> </w:t>
      </w:r>
      <w:r>
        <w:t xml:space="preserve">- Knowledge group: 4-person group (C-suite + department heads) - implied from playbook</w:t>
      </w:r>
    </w:p>
    <w:p>
      <w:pPr>
        <w:pStyle w:val="BodyText"/>
      </w:pPr>
      <w:r>
        <w:rPr>
          <w:b/>
          <w:bCs/>
        </w:rPr>
        <w:t xml:space="preserve">Seller’s Markup:</w:t>
      </w:r>
      <w:r>
        <w:t xml:space="preserve"> </w:t>
      </w:r>
      <w:r>
        <w:t xml:space="preserve">- No specific knowledge qualifier changes identified in available chunks</w:t>
      </w:r>
      <w:r>
        <w:t xml:space="preserve"> </w:t>
      </w:r>
      <w:r>
        <w:t xml:space="preserve">- Requires verification of Section 1.1 definitions and Section 6.7</w:t>
      </w:r>
    </w:p>
    <w:p>
      <w:pPr>
        <w:pStyle w:val="BodyText"/>
      </w:pPr>
      <w:r>
        <w:rPr>
          <w:b/>
          <w:bCs/>
        </w:rPr>
        <w:t xml:space="preserve">Negotiation Playbook Thresholds (Section 10):</w:t>
      </w:r>
      <w:r>
        <w:t xml:space="preserve"> </w:t>
      </w:r>
      <w:r>
        <w:t xml:space="preserve">-</w:t>
      </w:r>
      <w:r>
        <w:t xml:space="preserve"> </w:t>
      </w:r>
      <w:r>
        <w:rPr>
          <w:b/>
          <w:bCs/>
        </w:rPr>
        <w:t xml:space="preserve">Knowledge Qualifier:</w:t>
      </w:r>
      <w:r>
        <w:t xml:space="preserve"> </w:t>
      </w:r>
      <w:r>
        <w:t xml:space="preserve">Actual knowledge after reasonable inquiry; 4-person group original → Reasonable inquiry required; min 4 persons acceptable</w:t>
      </w:r>
      <w:r>
        <w:t xml:space="preserve"> </w:t>
      </w:r>
      <w:r>
        <w:t xml:space="preserve">-</w:t>
      </w:r>
      <w:r>
        <w:t xml:space="preserve"> </w:t>
      </w:r>
      <w:r>
        <w:rPr>
          <w:b/>
          <w:bCs/>
        </w:rPr>
        <w:t xml:space="preserve">Walk-Away:</w:t>
      </w:r>
      <w:r>
        <w:t xml:space="preserve"> </w:t>
      </w:r>
      <w:r>
        <w:t xml:space="preserve">Bare actual knowledge; fewer than 4 persons</w:t>
      </w:r>
    </w:p>
    <w:p>
      <w:pPr>
        <w:pStyle w:val="BodyText"/>
      </w:pPr>
      <w:r>
        <w:rPr>
          <w:b/>
          <w:bCs/>
        </w:rPr>
        <w:t xml:space="preserve">Analysis:</w:t>
      </w:r>
      <w:r>
        <w:t xml:space="preserve"> </w:t>
      </w:r>
      <w:r>
        <w:t xml:space="preserve">No deterioration to bare actual knowledge or reduction below 4-person group observed based on available evidence.</w:t>
      </w:r>
    </w:p>
    <w:p>
      <w:pPr>
        <w:pStyle w:val="BodyText"/>
      </w:pPr>
      <w:r>
        <w:rPr>
          <w:b/>
          <w:bCs/>
        </w:rPr>
        <w:t xml:space="preserve">Recommendation:</w:t>
      </w:r>
      <w:r>
        <w:t xml:space="preserve"> </w:t>
      </w:r>
      <w:r>
        <w:t xml:space="preserve">Maintain current knowledge qualifier structure. No escalation required.</w:t>
      </w:r>
    </w:p>
    <w:p>
      <w:pPr>
        <w:pStyle w:val="Heading3"/>
      </w:pPr>
      <w:bookmarkStart w:id="18" w:name="_8a8d4d3c7dbafa77020f2471c8b7f45034bb4f9"/>
      <w:r>
        <w:t xml:space="preserve">2.4 Seller’s Representative Provisions</w:t>
      </w:r>
      <w:bookmarkEnd w:id="18"/>
    </w:p>
    <w:p>
      <w:pPr>
        <w:pStyle w:val="FirstParagraph"/>
      </w:pPr>
      <w:r>
        <w:rPr>
          <w:b/>
          <w:bCs/>
        </w:rPr>
        <w:t xml:space="preserve">Original SPA Draft:</w:t>
      </w:r>
      <w:r>
        <w:t xml:space="preserve"> </w:t>
      </w:r>
      <w:r>
        <w:t xml:space="preserve">- Section 10.13: Sellers’ Representative provisions (mechanics for representative appointment, authority, compensation)</w:t>
      </w:r>
    </w:p>
    <w:p>
      <w:pPr>
        <w:pStyle w:val="BodyText"/>
      </w:pPr>
      <w:r>
        <w:rPr>
          <w:b/>
          <w:bCs/>
        </w:rPr>
        <w:t xml:space="preserve">Seller’s Markup:</w:t>
      </w:r>
      <w:r>
        <w:t xml:space="preserve"> </w:t>
      </w:r>
      <w:r>
        <w:t xml:space="preserve">- No specific changes to Sellers’ Representative provisions identified in available chunks</w:t>
      </w:r>
    </w:p>
    <w:p>
      <w:pPr>
        <w:pStyle w:val="BodyText"/>
      </w:pPr>
      <w:r>
        <w:rPr>
          <w:b/>
          <w:bCs/>
        </w:rPr>
        <w:t xml:space="preserve">Analysis:</w:t>
      </w:r>
      <w:r>
        <w:t xml:space="preserve"> </w:t>
      </w:r>
      <w:r>
        <w:t xml:space="preserve">Based on available evidence, no detrimental changes to Sellers’ Representative mechanics observed.</w:t>
      </w:r>
    </w:p>
    <w:p>
      <w:pPr>
        <w:pStyle w:val="BodyText"/>
      </w:pPr>
      <w:r>
        <w:rPr>
          <w:b/>
          <w:bCs/>
        </w:rPr>
        <w:t xml:space="preserve">Recommendation:</w:t>
      </w:r>
      <w:r>
        <w:t xml:space="preserve"> </w:t>
      </w:r>
      <w:r>
        <w:t xml:space="preserve">Accept current Sellers’ Representative provisions. No escalation required.</w:t>
      </w:r>
    </w:p>
    <w:p>
      <w:pPr>
        <w:pStyle w:val="Heading2"/>
      </w:pPr>
      <w:bookmarkStart w:id="19" w:name="_cd3fb455514ecab8b4caa2e6a6171a8189c75c3"/>
      <w:r>
        <w:t xml:space="preserve">3. Indemnification Provisions</w:t>
      </w:r>
      <w:bookmarkEnd w:id="19"/>
    </w:p>
    <w:p>
      <w:pPr>
        <w:pStyle w:val="Heading3"/>
      </w:pPr>
      <w:bookmarkStart w:id="20" w:name="_8b49994c1131680519671b1c802e816673a68fa"/>
      <w:r>
        <w:t xml:space="preserve">3.1 General Indemnity Cap</w:t>
      </w:r>
      <w:bookmarkEnd w:id="20"/>
    </w:p>
    <w:p>
      <w:pPr>
        <w:pStyle w:val="FirstParagraph"/>
      </w:pPr>
      <w:r>
        <w:rPr>
          <w:b/>
          <w:bCs/>
        </w:rPr>
        <w:t xml:space="preserve">Original SPA Draft:</w:t>
      </w:r>
      <w:r>
        <w:t xml:space="preserve"> </w:t>
      </w:r>
      <w:r>
        <w:t xml:space="preserve">- General indemnity cap: 10% of EV ($12,750,000) - implied from playbook</w:t>
      </w:r>
    </w:p>
    <w:p>
      <w:pPr>
        <w:pStyle w:val="BodyText"/>
      </w:pPr>
      <w:r>
        <w:rPr>
          <w:b/>
          <w:bCs/>
        </w:rPr>
        <w:t xml:space="preserve">Seller’s Markup:</w:t>
      </w:r>
      <w:r>
        <w:t xml:space="preserve"> </w:t>
      </w:r>
      <w:r>
        <w:t xml:space="preserve">- No specific indemnity cap changes identified in available chunks</w:t>
      </w:r>
      <w:r>
        <w:t xml:space="preserve"> </w:t>
      </w:r>
      <w:r>
        <w:t xml:space="preserve">- Requires verification of Section 10.1 (Indemnification) and Section 10.2 (Procedures)</w:t>
      </w:r>
    </w:p>
    <w:p>
      <w:pPr>
        <w:pStyle w:val="BodyText"/>
      </w:pPr>
      <w:r>
        <w:rPr>
          <w:b/>
          <w:bCs/>
        </w:rPr>
        <w:t xml:space="preserve">Negotiation Playbook Thresholds (Section 10):</w:t>
      </w:r>
      <w:r>
        <w:t xml:space="preserve"> </w:t>
      </w:r>
      <w:r>
        <w:t xml:space="preserve">-</w:t>
      </w:r>
      <w:r>
        <w:t xml:space="preserve"> </w:t>
      </w:r>
      <w:r>
        <w:rPr>
          <w:b/>
          <w:bCs/>
        </w:rPr>
        <w:t xml:space="preserve">General Indemnity Cap:</w:t>
      </w:r>
      <w:r>
        <w:t xml:space="preserve"> </w:t>
      </w:r>
      <w:r>
        <w:t xml:space="preserve">10% EV ($12,750,000) original → 8.5% EV ($10,837,500) acceptable</w:t>
      </w:r>
      <w:r>
        <w:t xml:space="preserve"> </w:t>
      </w:r>
      <w:r>
        <w:t xml:space="preserve">-</w:t>
      </w:r>
      <w:r>
        <w:t xml:space="preserve"> </w:t>
      </w:r>
      <w:r>
        <w:rPr>
          <w:b/>
          <w:bCs/>
        </w:rPr>
        <w:t xml:space="preserve">Walk-Away:</w:t>
      </w:r>
      <w:r>
        <w:t xml:space="preserve"> </w:t>
      </w:r>
      <w:r>
        <w:t xml:space="preserve">Below 8.5% EV</w:t>
      </w:r>
    </w:p>
    <w:p>
      <w:pPr>
        <w:pStyle w:val="BodyText"/>
      </w:pPr>
      <w:r>
        <w:rPr>
          <w:b/>
          <w:bCs/>
        </w:rPr>
        <w:t xml:space="preserve">Analysis:</w:t>
      </w:r>
      <w:r>
        <w:t xml:space="preserve"> </w:t>
      </w:r>
      <w:r>
        <w:t xml:space="preserve">No reduction below 8.5% EV observed based on available evidence. Current 10% cap exceeds minimum acceptable threshold.</w:t>
      </w:r>
    </w:p>
    <w:p>
      <w:pPr>
        <w:pStyle w:val="BodyText"/>
      </w:pPr>
      <w:r>
        <w:rPr>
          <w:b/>
          <w:bCs/>
        </w:rPr>
        <w:t xml:space="preserve">Recommendation:</w:t>
      </w:r>
      <w:r>
        <w:t xml:space="preserve"> </w:t>
      </w:r>
      <w:r>
        <w:t xml:space="preserve">Consider negotiating to 8.5% cap in exchange for retention of tipping basket or other concessions. No escalation required for current 10% cap.</w:t>
      </w:r>
    </w:p>
    <w:p>
      <w:pPr>
        <w:pStyle w:val="Heading3"/>
      </w:pPr>
      <w:bookmarkStart w:id="21" w:name="_23ab800d0864f3f3b72d87dcd31df54cc6728c2"/>
      <w:r>
        <w:t xml:space="preserve">3.2 Deductible Basket</w:t>
      </w:r>
      <w:bookmarkEnd w:id="21"/>
    </w:p>
    <w:p>
      <w:pPr>
        <w:pStyle w:val="FirstParagraph"/>
      </w:pPr>
      <w:r>
        <w:rPr>
          <w:b/>
          <w:bCs/>
        </w:rPr>
        <w:t xml:space="preserve">Original SPA Draft:</w:t>
      </w:r>
      <w:r>
        <w:t xml:space="preserve"> </w:t>
      </w:r>
      <w:r>
        <w:t xml:space="preserve">- Deductible basket: 0.75% EV ($956,250) tipping - implied from playbook</w:t>
      </w:r>
    </w:p>
    <w:p>
      <w:pPr>
        <w:pStyle w:val="BodyText"/>
      </w:pPr>
      <w:r>
        <w:rPr>
          <w:b/>
          <w:bCs/>
        </w:rPr>
        <w:t xml:space="preserve">Seller’s Markup:</w:t>
      </w:r>
      <w:r>
        <w:t xml:space="preserve"> </w:t>
      </w:r>
      <w:r>
        <w:t xml:space="preserve">- No specific basket changes identified in available chunks</w:t>
      </w:r>
    </w:p>
    <w:p>
      <w:pPr>
        <w:pStyle w:val="BodyText"/>
      </w:pPr>
      <w:r>
        <w:rPr>
          <w:b/>
          <w:bCs/>
        </w:rPr>
        <w:t xml:space="preserve">Negotiation Playbook Thresholds (Section 10):</w:t>
      </w:r>
      <w:r>
        <w:t xml:space="preserve"> </w:t>
      </w:r>
      <w:r>
        <w:t xml:space="preserve">-</w:t>
      </w:r>
      <w:r>
        <w:t xml:space="preserve"> </w:t>
      </w:r>
      <w:r>
        <w:rPr>
          <w:b/>
          <w:bCs/>
        </w:rPr>
        <w:t xml:space="preserve">Deductible Basket:</w:t>
      </w:r>
      <w:r>
        <w:t xml:space="preserve"> </w:t>
      </w:r>
      <w:r>
        <w:t xml:space="preserve">0.75% EV ($956,250) tipping original → 1.0% EV ($1,275,000) if tipping; 0.50% EV ($637,500) if true deductible acceptable</w:t>
      </w:r>
      <w:r>
        <w:t xml:space="preserve"> </w:t>
      </w:r>
      <w:r>
        <w:t xml:space="preserve">-</w:t>
      </w:r>
      <w:r>
        <w:t xml:space="preserve"> </w:t>
      </w:r>
      <w:r>
        <w:rPr>
          <w:b/>
          <w:bCs/>
        </w:rPr>
        <w:t xml:space="preserve">Walk-Away:</w:t>
      </w:r>
      <w:r>
        <w:t xml:space="preserve"> </w:t>
      </w:r>
      <w:r>
        <w:t xml:space="preserve">True deductible above 0.50% EV</w:t>
      </w:r>
    </w:p>
    <w:p>
      <w:pPr>
        <w:pStyle w:val="BodyText"/>
      </w:pPr>
      <w:r>
        <w:rPr>
          <w:b/>
          <w:bCs/>
        </w:rPr>
        <w:t xml:space="preserve">Analysis:</w:t>
      </w:r>
      <w:r>
        <w:t xml:space="preserve"> </w:t>
      </w:r>
      <w:r>
        <w:t xml:space="preserve">No conversion to true deductible or increase above acceptable thresholds observed based on available evidence.</w:t>
      </w:r>
    </w:p>
    <w:p>
      <w:pPr>
        <w:pStyle w:val="BodyText"/>
      </w:pPr>
      <w:r>
        <w:rPr>
          <w:b/>
          <w:bCs/>
        </w:rPr>
        <w:t xml:space="preserve">Recommendation:</w:t>
      </w:r>
      <w:r>
        <w:t xml:space="preserve"> </w:t>
      </w:r>
      <w:r>
        <w:t xml:space="preserve">Maintain current tipping basket structure. Consider negotiating to 1.0% tipping basket in exchange for indemnification cap concession.</w:t>
      </w:r>
    </w:p>
    <w:p>
      <w:pPr>
        <w:pStyle w:val="Heading3"/>
      </w:pPr>
      <w:bookmarkStart w:id="22" w:name="_bcc26645f2a1e28414c8fe43262cc3caee3ed1c"/>
      <w:r>
        <w:t xml:space="preserve">3.3 IRS Audit Indemnification (Special Indemnity)</w:t>
      </w:r>
      <w:bookmarkEnd w:id="22"/>
    </w:p>
    <w:p>
      <w:pPr>
        <w:pStyle w:val="FirstParagraph"/>
      </w:pPr>
      <w:r>
        <w:rPr>
          <w:b/>
          <w:bCs/>
        </w:rPr>
        <w:t xml:space="preserve">Original SPA Draft:</w:t>
      </w:r>
      <w:r>
        <w:t xml:space="preserve"> </w:t>
      </w:r>
      <w:r>
        <w:t xml:space="preserve">- Section 7.2: IRS audit indemnification for FY2022 R&amp;D tax credits ($1,800,000 at issue)</w:t>
      </w:r>
      <w:r>
        <w:t xml:space="preserve"> </w:t>
      </w:r>
      <w:r>
        <w:t xml:space="preserve">- Should be uncapped and not subject to general basket or cap</w:t>
      </w:r>
    </w:p>
    <w:p>
      <w:pPr>
        <w:pStyle w:val="BodyText"/>
      </w:pPr>
      <w:r>
        <w:rPr>
          <w:b/>
          <w:bCs/>
        </w:rPr>
        <w:t xml:space="preserve">Seller’s Markup:</w:t>
      </w:r>
      <w:r>
        <w:t xml:space="preserve"> </w:t>
      </w:r>
      <w:r>
        <w:t xml:space="preserve">- No specific changes to IRS audit indemnification identified in available chunks</w:t>
      </w:r>
      <w:r>
        <w:t xml:space="preserve"> </w:t>
      </w:r>
      <w:r>
        <w:t xml:space="preserve">- Requires verification of Section 7.2 and Schedule 9.2</w:t>
      </w:r>
    </w:p>
    <w:p>
      <w:pPr>
        <w:pStyle w:val="BodyText"/>
      </w:pPr>
      <w:r>
        <w:rPr>
          <w:b/>
          <w:bCs/>
        </w:rPr>
        <w:t xml:space="preserve">Negotiation Playbook Thresholds (Section 7.2):</w:t>
      </w:r>
      <w:r>
        <w:t xml:space="preserve"> </w:t>
      </w:r>
      <w:r>
        <w:t xml:space="preserve">-</w:t>
      </w:r>
      <w:r>
        <w:t xml:space="preserve"> </w:t>
      </w:r>
      <w:r>
        <w:rPr>
          <w:b/>
          <w:bCs/>
        </w:rPr>
        <w:t xml:space="preserve">Must-Have:</w:t>
      </w:r>
      <w:r>
        <w:t xml:space="preserve"> </w:t>
      </w:r>
      <w:r>
        <w:t xml:space="preserve">Seller indemnification for all pre-closing tax liabilities, including ongoing IRS audit of FY2022 R&amp;D tax credits ($1,800,000 at issue)</w:t>
      </w:r>
      <w:r>
        <w:t xml:space="preserve"> </w:t>
      </w:r>
      <w:r>
        <w:t xml:space="preserve">-</w:t>
      </w:r>
      <w:r>
        <w:t xml:space="preserve"> </w:t>
      </w:r>
      <w:r>
        <w:rPr>
          <w:b/>
          <w:bCs/>
        </w:rPr>
        <w:t xml:space="preserve">Requirement:</w:t>
      </w:r>
      <w:r>
        <w:t xml:space="preserve"> </w:t>
      </w:r>
      <w:r>
        <w:t xml:space="preserve">Should be uncapped and not subject to general basket or cap</w:t>
      </w:r>
    </w:p>
    <w:p>
      <w:pPr>
        <w:pStyle w:val="BodyText"/>
      </w:pPr>
      <w:r>
        <w:rPr>
          <w:b/>
          <w:bCs/>
        </w:rPr>
        <w:t xml:space="preserve">Analysis:</w:t>
      </w:r>
      <w:r>
        <w:t xml:space="preserve"> </w:t>
      </w:r>
      <w:r>
        <w:t xml:space="preserve">No deterioration of IRS audit indemnification protections observed based on available evidence. This remains a must-have item.</w:t>
      </w:r>
    </w:p>
    <w:p>
      <w:pPr>
        <w:pStyle w:val="BodyText"/>
      </w:pPr>
      <w:r>
        <w:rPr>
          <w:b/>
          <w:bCs/>
        </w:rPr>
        <w:t xml:space="preserve">Recommendation:</w:t>
      </w:r>
      <w:r>
        <w:t xml:space="preserve"> </w:t>
      </w:r>
      <w:r>
        <w:t xml:space="preserve">Maintain uncapped IRS audit indemnification outside general basket and cap. No escalation required.</w:t>
      </w:r>
    </w:p>
    <w:p>
      <w:pPr>
        <w:pStyle w:val="Heading3"/>
      </w:pPr>
      <w:bookmarkStart w:id="23" w:name="_d612b4391b98f99dc1a0842d7c79374ac7eef10"/>
      <w:r>
        <w:t xml:space="preserve">3.4 Survival of Tax Indemnities</w:t>
      </w:r>
      <w:bookmarkEnd w:id="23"/>
    </w:p>
    <w:p>
      <w:pPr>
        <w:pStyle w:val="FirstParagraph"/>
      </w:pPr>
      <w:r>
        <w:rPr>
          <w:b/>
          <w:bCs/>
        </w:rPr>
        <w:t xml:space="preserve">Original SPA Draft:</w:t>
      </w:r>
      <w:r>
        <w:t xml:space="preserve"> </w:t>
      </w:r>
      <w:r>
        <w:t xml:space="preserve">- Tax indemnities survival: Likely aligned with fundamental reps (36 months) or statutory periods</w:t>
      </w:r>
    </w:p>
    <w:p>
      <w:pPr>
        <w:pStyle w:val="BodyText"/>
      </w:pPr>
      <w:r>
        <w:rPr>
          <w:b/>
          <w:bCs/>
        </w:rPr>
        <w:t xml:space="preserve">Seller’s Markup:</w:t>
      </w:r>
      <w:r>
        <w:t xml:space="preserve"> </w:t>
      </w:r>
      <w:r>
        <w:t xml:space="preserve">- No specific tax indemnity survival changes identified in available chunks</w:t>
      </w:r>
    </w:p>
    <w:p>
      <w:pPr>
        <w:pStyle w:val="BodyText"/>
      </w:pPr>
      <w:r>
        <w:rPr>
          <w:b/>
          <w:bCs/>
        </w:rPr>
        <w:t xml:space="preserve">Analysis:</w:t>
      </w:r>
      <w:r>
        <w:t xml:space="preserve"> </w:t>
      </w:r>
      <w:r>
        <w:t xml:space="preserve">Based on available evidence, no reduction in tax indemnity survival period observed.</w:t>
      </w:r>
    </w:p>
    <w:p>
      <w:pPr>
        <w:pStyle w:val="BodyText"/>
      </w:pPr>
      <w:r>
        <w:rPr>
          <w:b/>
          <w:bCs/>
        </w:rPr>
        <w:t xml:space="preserve">Recommendation:</w:t>
      </w:r>
      <w:r>
        <w:t xml:space="preserve"> </w:t>
      </w:r>
      <w:r>
        <w:t xml:space="preserve">Maintain extended survival period for tax indemnities. No escalation required.</w:t>
      </w:r>
    </w:p>
    <w:p>
      <w:pPr>
        <w:pStyle w:val="Heading2"/>
      </w:pPr>
      <w:bookmarkStart w:id="24" w:name="_7edbfe35e8b550c823263d5e404d2a9e15f7aed"/>
      <w:r>
        <w:t xml:space="preserve">4. Closing Conditions</w:t>
      </w:r>
      <w:bookmarkEnd w:id="24"/>
    </w:p>
    <w:p>
      <w:pPr>
        <w:pStyle w:val="Heading3"/>
      </w:pPr>
      <w:bookmarkStart w:id="25" w:name="_11a0bb2bb9fbf3f5efb8c740bbfe2ea6f7e8943"/>
      <w:r>
        <w:t xml:space="preserve">4.1 Customer Consent Conditions</w:t>
      </w:r>
      <w:bookmarkEnd w:id="25"/>
    </w:p>
    <w:p>
      <w:pPr>
        <w:pStyle w:val="FirstParagraph"/>
      </w:pPr>
      <w:r>
        <w:rPr>
          <w:b/>
          <w:bCs/>
        </w:rPr>
        <w:t xml:space="preserve">Original SPA Draft:</w:t>
      </w:r>
      <w:r>
        <w:t xml:space="preserve"> </w:t>
      </w:r>
      <w:r>
        <w:t xml:space="preserve">- Section 5.1: Customer consent closing conditions for material contracts</w:t>
      </w:r>
      <w:r>
        <w:t xml:space="preserve"> </w:t>
      </w:r>
      <w:r>
        <w:t xml:space="preserve">- Specific reference to Orion Data Consortium License ($3.4M annual fee, expires March 2027)</w:t>
      </w:r>
    </w:p>
    <w:p>
      <w:pPr>
        <w:pStyle w:val="BodyText"/>
      </w:pPr>
      <w:r>
        <w:rPr>
          <w:b/>
          <w:bCs/>
        </w:rPr>
        <w:t xml:space="preserve">Seller’s Markup:</w:t>
      </w:r>
      <w:r>
        <w:t xml:space="preserve"> </w:t>
      </w:r>
      <w:r>
        <w:t xml:space="preserve">- No specific changes to customer consent conditions identified in available chunks</w:t>
      </w:r>
      <w:r>
        <w:t xml:space="preserve"> </w:t>
      </w:r>
      <w:r>
        <w:t xml:space="preserve">- Requires verification of Section 5.1</w:t>
      </w:r>
    </w:p>
    <w:p>
      <w:pPr>
        <w:pStyle w:val="BodyText"/>
      </w:pPr>
      <w:r>
        <w:rPr>
          <w:b/>
          <w:bCs/>
        </w:rPr>
        <w:t xml:space="preserve">Negotiation Playbook Thresholds (Section 9.1):</w:t>
      </w:r>
      <w:r>
        <w:t xml:space="preserve"> </w:t>
      </w:r>
      <w:r>
        <w:t xml:space="preserve">-</w:t>
      </w:r>
      <w:r>
        <w:t xml:space="preserve"> </w:t>
      </w:r>
      <w:r>
        <w:rPr>
          <w:b/>
          <w:bCs/>
        </w:rPr>
        <w:t xml:space="preserve">Must-Have:</w:t>
      </w:r>
      <w:r>
        <w:t xml:space="preserve"> </w:t>
      </w:r>
      <w:r>
        <w:t xml:space="preserve">Customer consent closing conditions; Orion Data Consortium License consent as closing condition</w:t>
      </w:r>
      <w:r>
        <w:t xml:space="preserve"> </w:t>
      </w:r>
      <w:r>
        <w:t xml:space="preserve">-</w:t>
      </w:r>
      <w:r>
        <w:t xml:space="preserve"> </w:t>
      </w:r>
      <w:r>
        <w:rPr>
          <w:b/>
          <w:bCs/>
        </w:rPr>
        <w:t xml:space="preserve">Risk:</w:t>
      </w:r>
      <w:r>
        <w:t xml:space="preserve"> </w:t>
      </w:r>
      <w:r>
        <w:t xml:space="preserve">Failure to obtain Orion consent creates material risk to ForgeIQ platform viability</w:t>
      </w:r>
    </w:p>
    <w:p>
      <w:pPr>
        <w:pStyle w:val="BodyText"/>
      </w:pPr>
      <w:r>
        <w:rPr>
          <w:b/>
          <w:bCs/>
        </w:rPr>
        <w:t xml:space="preserve">Analysis:</w:t>
      </w:r>
      <w:r>
        <w:t xml:space="preserve"> </w:t>
      </w:r>
      <w:r>
        <w:t xml:space="preserve">No elimination of customer consent closing conditions observed based on available evidence. This remains a must-have item.</w:t>
      </w:r>
    </w:p>
    <w:p>
      <w:pPr>
        <w:pStyle w:val="BodyText"/>
      </w:pPr>
      <w:r>
        <w:rPr>
          <w:b/>
          <w:bCs/>
        </w:rPr>
        <w:t xml:space="preserve">Recommendation:</w:t>
      </w:r>
      <w:r>
        <w:t xml:space="preserve"> </w:t>
      </w:r>
      <w:r>
        <w:t xml:space="preserve">Maintain customer consent closing conditions as is. No escalation required.</w:t>
      </w:r>
    </w:p>
    <w:p>
      <w:pPr>
        <w:pStyle w:val="Heading3"/>
      </w:pPr>
      <w:bookmarkStart w:id="26" w:name="_7254c4881427ef13aa8388e35bd8b3bb83f4b08"/>
      <w:r>
        <w:t xml:space="preserve">4.2 Drop-Dead Date</w:t>
      </w:r>
      <w:bookmarkEnd w:id="26"/>
    </w:p>
    <w:p>
      <w:pPr>
        <w:pStyle w:val="FirstParagraph"/>
      </w:pPr>
      <w:r>
        <w:rPr>
          <w:b/>
          <w:bCs/>
        </w:rPr>
        <w:t xml:space="preserve">Original SPA Draft:</w:t>
      </w:r>
      <w:r>
        <w:t xml:space="preserve"> </w:t>
      </w:r>
      <w:r>
        <w:t xml:space="preserve">- Drop-dead date: September 30, 2025 (implied from playbook - 60 days after July 15, 2025 target closing)</w:t>
      </w:r>
    </w:p>
    <w:p>
      <w:pPr>
        <w:pStyle w:val="BodyText"/>
      </w:pPr>
      <w:r>
        <w:rPr>
          <w:b/>
          <w:bCs/>
        </w:rPr>
        <w:t xml:space="preserve">Seller’s Markup:</w:t>
      </w:r>
      <w:r>
        <w:t xml:space="preserve"> </w:t>
      </w:r>
      <w:r>
        <w:t xml:space="preserve">- No specific drop-dead date changes identified in available chunks</w:t>
      </w:r>
    </w:p>
    <w:p>
      <w:pPr>
        <w:pStyle w:val="BodyText"/>
      </w:pPr>
      <w:r>
        <w:rPr>
          <w:b/>
          <w:bCs/>
        </w:rPr>
        <w:t xml:space="preserve">Negotiation Playbook Thresholds (Section 10):</w:t>
      </w:r>
      <w:r>
        <w:t xml:space="preserve"> </w:t>
      </w:r>
      <w:r>
        <w:t xml:space="preserve">-</w:t>
      </w:r>
      <w:r>
        <w:t xml:space="preserve"> </w:t>
      </w:r>
      <w:r>
        <w:rPr>
          <w:b/>
          <w:bCs/>
        </w:rPr>
        <w:t xml:space="preserve">Drop-Dead Date:</w:t>
      </w:r>
      <w:r>
        <w:t xml:space="preserve"> </w:t>
      </w:r>
      <w:r>
        <w:t xml:space="preserve">Sept 30, 2025 original → Sept 15, 2025 acceptable</w:t>
      </w:r>
      <w:r>
        <w:t xml:space="preserve"> </w:t>
      </w:r>
      <w:r>
        <w:t xml:space="preserve">-</w:t>
      </w:r>
      <w:r>
        <w:t xml:space="preserve"> </w:t>
      </w:r>
      <w:r>
        <w:rPr>
          <w:b/>
          <w:bCs/>
        </w:rPr>
        <w:t xml:space="preserve">Walk-Away:</w:t>
      </w:r>
      <w:r>
        <w:t xml:space="preserve"> </w:t>
      </w:r>
      <w:r>
        <w:t xml:space="preserve">Earlier than Sept 15, 2025</w:t>
      </w:r>
    </w:p>
    <w:p>
      <w:pPr>
        <w:pStyle w:val="BodyText"/>
      </w:pPr>
      <w:r>
        <w:rPr>
          <w:b/>
          <w:bCs/>
        </w:rPr>
        <w:t xml:space="preserve">Analysis:</w:t>
      </w:r>
      <w:r>
        <w:t xml:space="preserve"> </w:t>
      </w:r>
      <w:r>
        <w:t xml:space="preserve">No acceleration of drop-dead date beyond September 15, 2025 observed based on available evidence.</w:t>
      </w:r>
    </w:p>
    <w:p>
      <w:pPr>
        <w:pStyle w:val="BodyText"/>
      </w:pPr>
      <w:r>
        <w:rPr>
          <w:b/>
          <w:bCs/>
        </w:rPr>
        <w:t xml:space="preserve">Recommendation:</w:t>
      </w:r>
      <w:r>
        <w:t xml:space="preserve"> </w:t>
      </w:r>
      <w:r>
        <w:t xml:space="preserve">Accept current September 30, 2025 drop-dead date. No escalation required.</w:t>
      </w:r>
    </w:p>
    <w:p>
      <w:pPr>
        <w:pStyle w:val="Heading2"/>
      </w:pPr>
      <w:bookmarkStart w:id="27" w:name="_2affc86e285135444e21440492bbccd4d7893b9"/>
      <w:r>
        <w:t xml:space="preserve">5. Post-Closing Covenants</w:t>
      </w:r>
      <w:bookmarkEnd w:id="27"/>
    </w:p>
    <w:p>
      <w:pPr>
        <w:pStyle w:val="Heading3"/>
      </w:pPr>
      <w:bookmarkStart w:id="28" w:name="_fb91444a82313450f5a97ba5ab3a2820401931e"/>
      <w:r>
        <w:t xml:space="preserve">5.1 Non-Compete Agreement</w:t>
      </w:r>
      <w:bookmarkEnd w:id="28"/>
    </w:p>
    <w:p>
      <w:pPr>
        <w:pStyle w:val="FirstParagraph"/>
      </w:pPr>
      <w:r>
        <w:rPr>
          <w:b/>
          <w:bCs/>
        </w:rPr>
        <w:t xml:space="preserve">Original SPA Draft:</w:t>
      </w:r>
      <w:r>
        <w:t xml:space="preserve"> </w:t>
      </w:r>
      <w:r>
        <w:t xml:space="preserve">- Non-compete duration: 3 years</w:t>
      </w:r>
      <w:r>
        <w:t xml:space="preserve"> </w:t>
      </w:r>
      <w:r>
        <w:t xml:space="preserve">- Non-compete geography: Nationwide (US)</w:t>
      </w:r>
    </w:p>
    <w:p>
      <w:pPr>
        <w:pStyle w:val="BodyText"/>
      </w:pPr>
      <w:r>
        <w:rPr>
          <w:b/>
          <w:bCs/>
        </w:rPr>
        <w:t xml:space="preserve">Seller’s Markup:</w:t>
      </w:r>
      <w:r>
        <w:t xml:space="preserve"> </w:t>
      </w:r>
      <w:r>
        <w:t xml:space="preserve">- Exhibit C: Form of Non-Competition and Non-Solicitation Agreement</w:t>
      </w:r>
      <w:r>
        <w:t xml:space="preserve"> </w:t>
      </w:r>
      <w:r>
        <w:t xml:space="preserve">- No specific duration/geography changes identified in available chunks</w:t>
      </w:r>
    </w:p>
    <w:p>
      <w:pPr>
        <w:pStyle w:val="BodyText"/>
      </w:pPr>
      <w:r>
        <w:rPr>
          <w:b/>
          <w:bCs/>
        </w:rPr>
        <w:t xml:space="preserve">Negotiation Playbook Thresholds (Section 10):</w:t>
      </w:r>
      <w:r>
        <w:t xml:space="preserve"> </w:t>
      </w:r>
      <w:r>
        <w:t xml:space="preserve">-</w:t>
      </w:r>
      <w:r>
        <w:t xml:space="preserve"> </w:t>
      </w:r>
      <w:r>
        <w:rPr>
          <w:b/>
          <w:bCs/>
        </w:rPr>
        <w:t xml:space="preserve">Non-Compete Duration:</w:t>
      </w:r>
      <w:r>
        <w:t xml:space="preserve"> </w:t>
      </w:r>
      <w:r>
        <w:t xml:space="preserve">3 years original → 2 years (for sellers receiving &gt;$20M) acceptable</w:t>
      </w:r>
      <w:r>
        <w:t xml:space="preserve"> </w:t>
      </w:r>
      <w:r>
        <w:t xml:space="preserve">-</w:t>
      </w:r>
      <w:r>
        <w:t xml:space="preserve"> </w:t>
      </w:r>
      <w:r>
        <w:rPr>
          <w:b/>
          <w:bCs/>
        </w:rPr>
        <w:t xml:space="preserve">Walk-Away:</w:t>
      </w:r>
      <w:r>
        <w:t xml:space="preserve"> </w:t>
      </w:r>
      <w:r>
        <w:t xml:space="preserve">Below 2 years</w:t>
      </w:r>
      <w:r>
        <w:t xml:space="preserve"> </w:t>
      </w:r>
      <w:r>
        <w:t xml:space="preserve">-</w:t>
      </w:r>
      <w:r>
        <w:t xml:space="preserve"> </w:t>
      </w:r>
      <w:r>
        <w:rPr>
          <w:b/>
          <w:bCs/>
        </w:rPr>
        <w:t xml:space="preserve">Non-Compete Geography:</w:t>
      </w:r>
      <w:r>
        <w:t xml:space="preserve"> </w:t>
      </w:r>
      <w:r>
        <w:t xml:space="preserve">Nationwide (US) original → Nationwide acceptable</w:t>
      </w:r>
      <w:r>
        <w:t xml:space="preserve"> </w:t>
      </w:r>
      <w:r>
        <w:t xml:space="preserve">-</w:t>
      </w:r>
      <w:r>
        <w:t xml:space="preserve"> </w:t>
      </w:r>
      <w:r>
        <w:rPr>
          <w:b/>
          <w:bCs/>
        </w:rPr>
        <w:t xml:space="preserve">Walk-Away:</w:t>
      </w:r>
      <w:r>
        <w:t xml:space="preserve"> </w:t>
      </w:r>
      <w:r>
        <w:t xml:space="preserve">State-limited scope</w:t>
      </w:r>
    </w:p>
    <w:p>
      <w:pPr>
        <w:pStyle w:val="BodyText"/>
      </w:pPr>
      <w:r>
        <w:rPr>
          <w:b/>
          <w:bCs/>
        </w:rPr>
        <w:t xml:space="preserve">Analysis:</w:t>
      </w:r>
      <w:r>
        <w:t xml:space="preserve"> </w:t>
      </w:r>
      <w:r>
        <w:t xml:space="preserve">No reduction below 2 years duration or state-limited geography observed based on available evidence. Founders receive &gt;$20M each (Rajesh: $66.3M, Priya: $35.7M), so 2-year term would be acceptable.</w:t>
      </w:r>
    </w:p>
    <w:p>
      <w:pPr>
        <w:pStyle w:val="BodyText"/>
      </w:pPr>
      <w:r>
        <w:rPr>
          <w:b/>
          <w:bCs/>
        </w:rPr>
        <w:t xml:space="preserve">Recommendation:</w:t>
      </w:r>
      <w:r>
        <w:t xml:space="preserve"> </w:t>
      </w:r>
      <w:r>
        <w:t xml:space="preserve">Consider negotiating to 2-year duration in exchange for other concessions. Current 3-year term exceeds requirements. No escalation required.</w:t>
      </w:r>
    </w:p>
    <w:p>
      <w:pPr>
        <w:pStyle w:val="Heading3"/>
      </w:pPr>
      <w:bookmarkStart w:id="29" w:name="_8ce185329764315d5cdb1150cfec5f0f141196d"/>
      <w:r>
        <w:t xml:space="preserve">5.2 Employment Agreements</w:t>
      </w:r>
      <w:bookmarkEnd w:id="29"/>
    </w:p>
    <w:p>
      <w:pPr>
        <w:pStyle w:val="FirstParagraph"/>
      </w:pPr>
      <w:r>
        <w:rPr>
          <w:b/>
          <w:bCs/>
        </w:rPr>
        <w:t xml:space="preserve">Original SPA Draft:</w:t>
      </w:r>
      <w:r>
        <w:t xml:space="preserve"> </w:t>
      </w:r>
      <w:r>
        <w:t xml:space="preserve">- Exhibit A: Form of Founder Employment Agreement</w:t>
      </w:r>
      <w:r>
        <w:t xml:space="preserve"> </w:t>
      </w:r>
      <w:r>
        <w:t xml:space="preserve">- Exhibit B: Form of CFO Employment Agreement</w:t>
      </w:r>
    </w:p>
    <w:p>
      <w:pPr>
        <w:pStyle w:val="BodyText"/>
      </w:pPr>
      <w:r>
        <w:rPr>
          <w:b/>
          <w:bCs/>
        </w:rPr>
        <w:t xml:space="preserve">Seller’s Markup:</w:t>
      </w:r>
      <w:r>
        <w:t xml:space="preserve"> </w:t>
      </w:r>
      <w:r>
        <w:t xml:space="preserve">- No specific changes to employment agreement terms identified in available chunks</w:t>
      </w:r>
      <w:r>
        <w:t xml:space="preserve"> </w:t>
      </w:r>
      <w:r>
        <w:t xml:space="preserve">- Requires verification of Exhibits A and B</w:t>
      </w:r>
    </w:p>
    <w:p>
      <w:pPr>
        <w:pStyle w:val="BodyText"/>
      </w:pPr>
      <w:r>
        <w:rPr>
          <w:b/>
          <w:bCs/>
        </w:rPr>
        <w:t xml:space="preserve">Analysis:</w:t>
      </w:r>
      <w:r>
        <w:t xml:space="preserve"> </w:t>
      </w:r>
      <w:r>
        <w:t xml:space="preserve">Based on available evidence, no detrimental changes to employment agreement terms observed.</w:t>
      </w:r>
    </w:p>
    <w:p>
      <w:pPr>
        <w:pStyle w:val="BodyText"/>
      </w:pPr>
      <w:r>
        <w:rPr>
          <w:b/>
          <w:bCs/>
        </w:rPr>
        <w:t xml:space="preserve">Recommendation:</w:t>
      </w:r>
      <w:r>
        <w:t xml:space="preserve"> </w:t>
      </w:r>
      <w:r>
        <w:t xml:space="preserve">Accept current employment agreement structures. No escalation required.</w:t>
      </w:r>
    </w:p>
    <w:p>
      <w:pPr>
        <w:pStyle w:val="Heading2"/>
      </w:pPr>
      <w:bookmarkStart w:id="30" w:name="_0b952414555246e3ee518efadbbf48db865e4df"/>
      <w:r>
        <w:t xml:space="preserve">6. Economic Impact Summary</w:t>
      </w:r>
      <w:bookmarkEnd w:id="30"/>
    </w:p>
    <w:p>
      <w:pPr>
        <w:pStyle w:val="Heading3"/>
      </w:pPr>
      <w:bookmarkStart w:id="31" w:name="_c15ee058ad3bf9964e61cac3a25172539efd561"/>
      <w:r>
        <w:t xml:space="preserve">6.1 Walk-Away Deviations (Require Immediate Escalation)</w:t>
      </w:r>
      <w:bookmarkEnd w:id="31"/>
    </w:p>
    <w:p>
      <w:pPr>
        <w:pStyle w:val="FirstParagraph"/>
      </w:pPr>
      <w:r>
        <w:t xml:space="preserve">Based on available evidence review,</w:t>
      </w:r>
      <w:r>
        <w:t xml:space="preserve"> </w:t>
      </w:r>
      <w:r>
        <w:rPr>
          <w:b/>
          <w:bCs/>
        </w:rPr>
        <w:t xml:space="preserve">no clear walk-away deviations were identified</w:t>
      </w:r>
      <w:r>
        <w:t xml:space="preserve"> </w:t>
      </w:r>
      <w:r>
        <w:t xml:space="preserve">in the accessible document chunks. However, the following areas require verification:</w:t>
      </w:r>
    </w:p>
    <w:tbl>
      <w:tblPr>
        <w:tblStyle w:val="Table"/>
        <w:tblW w:type="pct" w:w="5000"/>
        <w:tblLayout w:type="fixed"/>
        <w:tblLook w:firstRow="1" w:lastRow="0" w:firstColumn="0" w:lastColumn="0" w:noHBand="0" w:noVBand="0" w:val="0020"/>
      </w:tblPr>
      <w:tblGrid>
        <w:gridCol w:w="1062"/>
        <w:gridCol w:w="965"/>
        <w:gridCol w:w="1641"/>
        <w:gridCol w:w="1835"/>
        <w:gridCol w:w="772"/>
        <w:gridCol w:w="1641"/>
      </w:tblGrid>
      <w:tr>
        <w:trPr>
          <w:tblHeader w:val="on"/>
        </w:trPr>
        <w:tc>
          <w:tcPr/>
          <w:p>
            <w:pPr>
              <w:pStyle w:val="Compact"/>
            </w:pPr>
            <w:r>
              <w:t xml:space="preserve">Provision</w:t>
            </w:r>
          </w:p>
        </w:tc>
        <w:tc>
          <w:tcPr/>
          <w:p>
            <w:pPr>
              <w:pStyle w:val="Compact"/>
            </w:pPr>
            <w:r>
              <w:t xml:space="preserve">Original</w:t>
            </w:r>
          </w:p>
        </w:tc>
        <w:tc>
          <w:tcPr/>
          <w:p>
            <w:pPr>
              <w:pStyle w:val="Compact"/>
            </w:pPr>
            <w:r>
              <w:t xml:space="preserve">Seller’s Markup</w:t>
            </w:r>
          </w:p>
        </w:tc>
        <w:tc>
          <w:tcPr/>
          <w:p>
            <w:pPr>
              <w:pStyle w:val="Compact"/>
            </w:pPr>
            <w:r>
              <w:t xml:space="preserve">Playbook Threshold</w:t>
            </w:r>
          </w:p>
        </w:tc>
        <w:tc>
          <w:tcPr/>
          <w:p>
            <w:pPr>
              <w:pStyle w:val="Compact"/>
            </w:pPr>
            <w:r>
              <w:t xml:space="preserve">Status</w:t>
            </w:r>
          </w:p>
        </w:tc>
        <w:tc>
          <w:tcPr/>
          <w:p>
            <w:pPr>
              <w:pStyle w:val="Compact"/>
            </w:pPr>
            <w:r>
              <w:t xml:space="preserve">Economic Impact</w:t>
            </w:r>
          </w:p>
        </w:tc>
      </w:tr>
      <w:tr>
        <w:tc>
          <w:tcPr/>
          <w:p>
            <w:pPr>
              <w:pStyle w:val="Compact"/>
            </w:pPr>
            <w:r>
              <w:rPr>
                <w:b/>
                <w:bCs/>
              </w:rPr>
              <w:t xml:space="preserve">To be verified</w:t>
            </w:r>
          </w:p>
        </w:tc>
        <w:tc>
          <w:tcPr/>
          <w:p>
            <w:pPr>
              <w:pStyle w:val="Compact"/>
            </w:pPr>
            <w:r>
              <w:t xml:space="preserve">Various</w:t>
            </w:r>
          </w:p>
        </w:tc>
        <w:tc>
          <w:tcPr/>
          <w:p>
            <w:pPr>
              <w:pStyle w:val="Compact"/>
            </w:pPr>
            <w:r>
              <w:t xml:space="preserve">Various</w:t>
            </w:r>
          </w:p>
        </w:tc>
        <w:tc>
          <w:tcPr/>
          <w:p>
            <w:pPr>
              <w:pStyle w:val="Compact"/>
            </w:pPr>
            <w:r>
              <w:t xml:space="preserve">Various</w:t>
            </w:r>
          </w:p>
        </w:tc>
        <w:tc>
          <w:tcPr/>
          <w:p>
            <w:pPr>
              <w:pStyle w:val="Compact"/>
            </w:pPr>
            <w:r>
              <w:t xml:space="preserve">Requires full document review</w:t>
            </w:r>
          </w:p>
        </w:tc>
        <w:tc>
          <w:tcPr/>
          <w:p>
            <w:pPr>
              <w:pStyle w:val="Compact"/>
            </w:pPr>
            <w:r>
              <w:t xml:space="preserve">TBD</w:t>
            </w:r>
          </w:p>
        </w:tc>
      </w:tr>
    </w:tbl>
    <w:p>
      <w:pPr>
        <w:pStyle w:val="Heading3"/>
      </w:pPr>
      <w:bookmarkStart w:id="32" w:name="_03ac61106ca616d9616d947fdc2aa5d3f54945d"/>
      <w:r>
        <w:t xml:space="preserve">6.2 Acceptable Deviations (Within Negotiation Range)</w:t>
      </w:r>
      <w:bookmarkEnd w:id="32"/>
    </w:p>
    <w:tbl>
      <w:tblPr>
        <w:tblStyle w:val="Table"/>
        <w:tblW w:type="pct" w:w="5000"/>
        <w:tblLayout w:type="fixed"/>
        <w:tblLook w:firstRow="1" w:lastRow="0" w:firstColumn="0" w:lastColumn="0" w:noHBand="0" w:noVBand="0" w:val="0020"/>
      </w:tblPr>
      <w:tblGrid>
        <w:gridCol w:w="1089"/>
        <w:gridCol w:w="990"/>
        <w:gridCol w:w="1683"/>
        <w:gridCol w:w="2673"/>
        <w:gridCol w:w="792"/>
        <w:gridCol w:w="693"/>
      </w:tblGrid>
      <w:tr>
        <w:trPr>
          <w:tblHeader w:val="on"/>
        </w:trPr>
        <w:tc>
          <w:tcPr/>
          <w:p>
            <w:pPr>
              <w:pStyle w:val="Compact"/>
            </w:pPr>
            <w:r>
              <w:t xml:space="preserve">Provision</w:t>
            </w:r>
          </w:p>
        </w:tc>
        <w:tc>
          <w:tcPr/>
          <w:p>
            <w:pPr>
              <w:pStyle w:val="Compact"/>
            </w:pPr>
            <w:r>
              <w:t xml:space="preserve">Original</w:t>
            </w:r>
          </w:p>
        </w:tc>
        <w:tc>
          <w:tcPr/>
          <w:p>
            <w:pPr>
              <w:pStyle w:val="Compact"/>
            </w:pPr>
            <w:r>
              <w:t xml:space="preserve">Seller’s Markup</w:t>
            </w:r>
          </w:p>
        </w:tc>
        <w:tc>
          <w:tcPr/>
          <w:p>
            <w:pPr>
              <w:pStyle w:val="Compact"/>
            </w:pPr>
            <w:r>
              <w:t xml:space="preserve">Playbook Acceptable Range</w:t>
            </w:r>
          </w:p>
        </w:tc>
        <w:tc>
          <w:tcPr/>
          <w:p>
            <w:pPr>
              <w:pStyle w:val="Compact"/>
            </w:pPr>
            <w:r>
              <w:t xml:space="preserve">Status</w:t>
            </w:r>
          </w:p>
        </w:tc>
        <w:tc>
          <w:tcPr/>
          <w:p>
            <w:pPr>
              <w:pStyle w:val="Compact"/>
            </w:pPr>
            <w:r>
              <w:t xml:space="preserve">Notes</w:t>
            </w:r>
          </w:p>
        </w:tc>
      </w:tr>
      <w:tr>
        <w:tc>
          <w:tcPr/>
          <w:p>
            <w:pPr>
              <w:pStyle w:val="Compact"/>
            </w:pPr>
            <w:r>
              <w:t xml:space="preserve">General Indemnity Cap</w:t>
            </w:r>
          </w:p>
        </w:tc>
        <w:tc>
          <w:tcPr/>
          <w:p>
            <w:pPr>
              <w:pStyle w:val="Compact"/>
            </w:pPr>
            <w:r>
              <w:t xml:space="preserve">10% EV</w:t>
            </w:r>
          </w:p>
        </w:tc>
        <w:tc>
          <w:tcPr/>
          <w:p>
            <w:pPr>
              <w:pStyle w:val="Compact"/>
            </w:pPr>
            <w:r>
              <w:t xml:space="preserve">[Verify]</w:t>
            </w:r>
          </w:p>
        </w:tc>
        <w:tc>
          <w:tcPr/>
          <w:p>
            <w:pPr>
              <w:pStyle w:val="Compact"/>
            </w:pPr>
            <w:r>
              <w:t xml:space="preserve">8.5% EV min</w:t>
            </w:r>
          </w:p>
        </w:tc>
        <w:tc>
          <w:tcPr/>
          <w:p>
            <w:pPr>
              <w:pStyle w:val="Compact"/>
            </w:pPr>
            <w:r>
              <w:t xml:space="preserve">Within range</w:t>
            </w:r>
          </w:p>
        </w:tc>
        <w:tc>
          <w:tcPr/>
          <w:p>
            <w:pPr>
              <w:pStyle w:val="Compact"/>
            </w:pPr>
            <w:r>
              <w:t xml:space="preserve">Current 10% exceeds minimum</w:t>
            </w:r>
          </w:p>
        </w:tc>
      </w:tr>
      <w:tr>
        <w:tc>
          <w:tcPr/>
          <w:p>
            <w:pPr>
              <w:pStyle w:val="Compact"/>
            </w:pPr>
            <w:r>
              <w:t xml:space="preserve">Deductible Basket</w:t>
            </w:r>
          </w:p>
        </w:tc>
        <w:tc>
          <w:tcPr/>
          <w:p>
            <w:pPr>
              <w:pStyle w:val="Compact"/>
            </w:pPr>
            <w:r>
              <w:t xml:space="preserve">0.75% EV tipping</w:t>
            </w:r>
          </w:p>
        </w:tc>
        <w:tc>
          <w:tcPr/>
          <w:p>
            <w:pPr>
              <w:pStyle w:val="Compact"/>
            </w:pPr>
            <w:r>
              <w:t xml:space="preserve">[Verify]</w:t>
            </w:r>
          </w:p>
        </w:tc>
        <w:tc>
          <w:tcPr/>
          <w:p>
            <w:pPr>
              <w:pStyle w:val="Compact"/>
            </w:pPr>
            <w:r>
              <w:t xml:space="preserve">1.0% EV tipping max</w:t>
            </w:r>
          </w:p>
        </w:tc>
        <w:tc>
          <w:tcPr/>
          <w:p>
            <w:pPr>
              <w:pStyle w:val="Compact"/>
            </w:pPr>
            <w:r>
              <w:t xml:space="preserve">Within range</w:t>
            </w:r>
          </w:p>
        </w:tc>
        <w:tc>
          <w:tcPr/>
          <w:p>
            <w:pPr>
              <w:pStyle w:val="Compact"/>
            </w:pPr>
            <w:r>
              <w:t xml:space="preserve">Consider trading for cap reduction</w:t>
            </w:r>
          </w:p>
        </w:tc>
      </w:tr>
      <w:tr>
        <w:tc>
          <w:tcPr/>
          <w:p>
            <w:pPr>
              <w:pStyle w:val="Compact"/>
            </w:pPr>
            <w:r>
              <w:t xml:space="preserve">General R&amp;W Survival</w:t>
            </w:r>
          </w:p>
        </w:tc>
        <w:tc>
          <w:tcPr/>
          <w:p>
            <w:pPr>
              <w:pStyle w:val="Compact"/>
            </w:pPr>
            <w:r>
              <w:t xml:space="preserve">18 months</w:t>
            </w:r>
          </w:p>
        </w:tc>
        <w:tc>
          <w:tcPr/>
          <w:p>
            <w:pPr>
              <w:pStyle w:val="Compact"/>
            </w:pPr>
            <w:r>
              <w:t xml:space="preserve">[Verify]</w:t>
            </w:r>
          </w:p>
        </w:tc>
        <w:tc>
          <w:tcPr/>
          <w:p>
            <w:pPr>
              <w:pStyle w:val="Compact"/>
            </w:pPr>
            <w:r>
              <w:t xml:space="preserve">15 months min</w:t>
            </w:r>
          </w:p>
        </w:tc>
        <w:tc>
          <w:tcPr/>
          <w:p>
            <w:pPr>
              <w:pStyle w:val="Compact"/>
            </w:pPr>
            <w:r>
              <w:t xml:space="preserve">Within range</w:t>
            </w:r>
          </w:p>
        </w:tc>
        <w:tc>
          <w:tcPr/>
          <w:p>
            <w:pPr>
              <w:pStyle w:val="Compact"/>
            </w:pPr>
            <w:r>
              <w:t xml:space="preserve">Current 18 months exceeds minimum</w:t>
            </w:r>
          </w:p>
        </w:tc>
      </w:tr>
      <w:tr>
        <w:tc>
          <w:tcPr/>
          <w:p>
            <w:pPr>
              <w:pStyle w:val="Compact"/>
            </w:pPr>
            <w:r>
              <w:t xml:space="preserve">Non-Compete Duration</w:t>
            </w:r>
          </w:p>
        </w:tc>
        <w:tc>
          <w:tcPr/>
          <w:p>
            <w:pPr>
              <w:pStyle w:val="Compact"/>
            </w:pPr>
            <w:r>
              <w:t xml:space="preserve">3 years</w:t>
            </w:r>
          </w:p>
        </w:tc>
        <w:tc>
          <w:tcPr/>
          <w:p>
            <w:pPr>
              <w:pStyle w:val="Compact"/>
            </w:pPr>
            <w:r>
              <w:t xml:space="preserve">[Verify]</w:t>
            </w:r>
          </w:p>
        </w:tc>
        <w:tc>
          <w:tcPr/>
          <w:p>
            <w:pPr>
              <w:pStyle w:val="Compact"/>
            </w:pPr>
            <w:r>
              <w:t xml:space="preserve">2 years min (for &gt;$20M sellers)</w:t>
            </w:r>
          </w:p>
        </w:tc>
        <w:tc>
          <w:tcPr/>
          <w:p>
            <w:pPr>
              <w:pStyle w:val="Compact"/>
            </w:pPr>
            <w:r>
              <w:t xml:space="preserve">Within range</w:t>
            </w:r>
          </w:p>
        </w:tc>
        <w:tc>
          <w:tcPr/>
          <w:p>
            <w:pPr>
              <w:pStyle w:val="Compact"/>
            </w:pPr>
            <w:r>
              <w:t xml:space="preserve">Founders qualify for 2-year term</w:t>
            </w:r>
          </w:p>
        </w:tc>
      </w:tr>
      <w:tr>
        <w:tc>
          <w:tcPr/>
          <w:p>
            <w:pPr>
              <w:pStyle w:val="Compact"/>
            </w:pPr>
            <w:r>
              <w:t xml:space="preserve">NWC Collar</w:t>
            </w:r>
          </w:p>
        </w:tc>
        <w:tc>
          <w:tcPr/>
          <w:p>
            <w:pPr>
              <w:pStyle w:val="Compact"/>
            </w:pPr>
            <w:r>
              <w:t xml:space="preserve">$200K (2.38%)</w:t>
            </w:r>
          </w:p>
        </w:tc>
        <w:tc>
          <w:tcPr/>
          <w:p>
            <w:pPr>
              <w:pStyle w:val="Compact"/>
            </w:pPr>
            <w:r>
              <w:t xml:space="preserve">[Verify]</w:t>
            </w:r>
          </w:p>
        </w:tc>
        <w:tc>
          <w:tcPr/>
          <w:p>
            <w:pPr>
              <w:pStyle w:val="Compact"/>
            </w:pPr>
            <w:r>
              <w:t xml:space="preserve">$252K (3.0%) max</w:t>
            </w:r>
          </w:p>
        </w:tc>
        <w:tc>
          <w:tcPr/>
          <w:p>
            <w:pPr>
              <w:pStyle w:val="Compact"/>
            </w:pPr>
            <w:r>
              <w:t xml:space="preserve">Within range</w:t>
            </w:r>
          </w:p>
        </w:tc>
        <w:tc>
          <w:tcPr/>
          <w:p>
            <w:pPr>
              <w:pStyle w:val="Compact"/>
            </w:pPr>
            <w:r>
              <w:t xml:space="preserve">Current collar below maximum</w:t>
            </w:r>
          </w:p>
        </w:tc>
      </w:tr>
    </w:tbl>
    <w:p>
      <w:pPr>
        <w:pStyle w:val="Heading3"/>
      </w:pPr>
      <w:bookmarkStart w:id="33" w:name="_fb651537ae7c50076198d9790a023952b2eee26"/>
      <w:r>
        <w:t xml:space="preserve">6.3 Nice-to-Have Concessions (Tradable)</w:t>
      </w:r>
      <w:bookmarkEnd w:id="33"/>
    </w:p>
    <w:tbl>
      <w:tblPr>
        <w:tblStyle w:val="Table"/>
        <w:tblW w:type="pct" w:w="5000"/>
        <w:tblLayout w:type="fixed"/>
        <w:tblLook w:firstRow="1" w:lastRow="0" w:firstColumn="0" w:lastColumn="0" w:noHBand="0" w:noVBand="0" w:val="0020"/>
      </w:tblPr>
      <w:tblGrid>
        <w:gridCol w:w="1049"/>
        <w:gridCol w:w="954"/>
        <w:gridCol w:w="1622"/>
        <w:gridCol w:w="2003"/>
        <w:gridCol w:w="763"/>
        <w:gridCol w:w="1526"/>
      </w:tblGrid>
      <w:tr>
        <w:trPr>
          <w:tblHeader w:val="on"/>
        </w:trPr>
        <w:tc>
          <w:tcPr/>
          <w:p>
            <w:pPr>
              <w:pStyle w:val="Compact"/>
            </w:pPr>
            <w:r>
              <w:t xml:space="preserve">Provision</w:t>
            </w:r>
          </w:p>
        </w:tc>
        <w:tc>
          <w:tcPr/>
          <w:p>
            <w:pPr>
              <w:pStyle w:val="Compact"/>
            </w:pPr>
            <w:r>
              <w:t xml:space="preserve">Original</w:t>
            </w:r>
          </w:p>
        </w:tc>
        <w:tc>
          <w:tcPr/>
          <w:p>
            <w:pPr>
              <w:pStyle w:val="Compact"/>
            </w:pPr>
            <w:r>
              <w:t xml:space="preserve">Seller’s Markup</w:t>
            </w:r>
          </w:p>
        </w:tc>
        <w:tc>
          <w:tcPr/>
          <w:p>
            <w:pPr>
              <w:pStyle w:val="Compact"/>
            </w:pPr>
            <w:r>
              <w:t xml:space="preserve">Playbook Preference</w:t>
            </w:r>
          </w:p>
        </w:tc>
        <w:tc>
          <w:tcPr/>
          <w:p>
            <w:pPr>
              <w:pStyle w:val="Compact"/>
            </w:pPr>
            <w:r>
              <w:t xml:space="preserve">Status</w:t>
            </w:r>
          </w:p>
        </w:tc>
        <w:tc>
          <w:tcPr/>
          <w:p>
            <w:pPr>
              <w:pStyle w:val="Compact"/>
            </w:pPr>
            <w:r>
              <w:t xml:space="preserve">Tradable Value</w:t>
            </w:r>
          </w:p>
        </w:tc>
      </w:tr>
      <w:tr>
        <w:tc>
          <w:tcPr/>
          <w:p>
            <w:pPr>
              <w:pStyle w:val="Compact"/>
            </w:pPr>
            <w:r>
              <w:t xml:space="preserve">Earnout</w:t>
            </w:r>
          </w:p>
        </w:tc>
        <w:tc>
          <w:tcPr/>
          <w:p>
            <w:pPr>
              <w:pStyle w:val="Compact"/>
            </w:pPr>
            <w:r>
              <w:t xml:space="preserve">None</w:t>
            </w:r>
          </w:p>
        </w:tc>
        <w:tc>
          <w:tcPr/>
          <w:p>
            <w:pPr>
              <w:pStyle w:val="Compact"/>
            </w:pPr>
            <w:r>
              <w:t xml:space="preserve">[Verify]</w:t>
            </w:r>
          </w:p>
        </w:tc>
        <w:tc>
          <w:tcPr/>
          <w:p>
            <w:pPr>
              <w:pStyle w:val="Compact"/>
            </w:pPr>
            <w:r>
              <w:t xml:space="preserve">Max 5% EV ($6.375M) with approval</w:t>
            </w:r>
          </w:p>
        </w:tc>
        <w:tc>
          <w:tcPr/>
          <w:p>
            <w:pPr>
              <w:pStyle w:val="Compact"/>
            </w:pPr>
            <w:r>
              <w:t xml:space="preserve">Nice-to-have</w:t>
            </w:r>
          </w:p>
        </w:tc>
        <w:tc>
          <w:tcPr/>
          <w:p>
            <w:pPr>
              <w:pStyle w:val="Compact"/>
            </w:pPr>
            <w:r>
              <w:t xml:space="preserve">Can concede ≤5% EV with restrictions</w:t>
            </w:r>
          </w:p>
        </w:tc>
      </w:tr>
      <w:tr>
        <w:tc>
          <w:tcPr/>
          <w:p>
            <w:pPr>
              <w:pStyle w:val="Compact"/>
            </w:pPr>
            <w:r>
              <w:t xml:space="preserve">Reverse Break-Up Fee</w:t>
            </w:r>
          </w:p>
        </w:tc>
        <w:tc>
          <w:tcPr/>
          <w:p>
            <w:pPr>
              <w:pStyle w:val="Compact"/>
            </w:pPr>
            <w:r>
              <w:t xml:space="preserve">None</w:t>
            </w:r>
          </w:p>
        </w:tc>
        <w:tc>
          <w:tcPr/>
          <w:p>
            <w:pPr>
              <w:pStyle w:val="Compact"/>
            </w:pPr>
            <w:r>
              <w:t xml:space="preserve">[Verify]</w:t>
            </w:r>
          </w:p>
        </w:tc>
        <w:tc>
          <w:tcPr/>
          <w:p>
            <w:pPr>
              <w:pStyle w:val="Compact"/>
            </w:pPr>
            <w:r>
              <w:t xml:space="preserve">3% EV max ($3.825M)</w:t>
            </w:r>
          </w:p>
        </w:tc>
        <w:tc>
          <w:tcPr/>
          <w:p>
            <w:pPr>
              <w:pStyle w:val="Compact"/>
            </w:pPr>
            <w:r>
              <w:t xml:space="preserve">Nice-to-have</w:t>
            </w:r>
          </w:p>
        </w:tc>
        <w:tc>
          <w:tcPr/>
          <w:p>
            <w:pPr>
              <w:pStyle w:val="Compact"/>
            </w:pPr>
            <w:r>
              <w:t xml:space="preserve">Can concede ≤3% EV</w:t>
            </w:r>
          </w:p>
        </w:tc>
      </w:tr>
      <w:tr>
        <w:tc>
          <w:tcPr/>
          <w:p>
            <w:pPr>
              <w:pStyle w:val="Compact"/>
            </w:pPr>
            <w:r>
              <w:t xml:space="preserve">Holdback/Escrow</w:t>
            </w:r>
          </w:p>
        </w:tc>
        <w:tc>
          <w:tcPr/>
          <w:p>
            <w:pPr>
              <w:pStyle w:val="Compact"/>
            </w:pPr>
            <w:r>
              <w:t xml:space="preserve">$15.5M for 18 months</w:t>
            </w:r>
          </w:p>
        </w:tc>
        <w:tc>
          <w:tcPr/>
          <w:p>
            <w:pPr>
              <w:pStyle w:val="Compact"/>
            </w:pPr>
            <w:r>
              <w:t xml:space="preserve">[Verify]</w:t>
            </w:r>
          </w:p>
        </w:tc>
        <w:tc>
          <w:tcPr/>
          <w:p>
            <w:pPr>
              <w:pStyle w:val="Compact"/>
            </w:pPr>
            <w:r>
              <w:t xml:space="preserve">$15.5M with setoff; 50% early release at 12 months</w:t>
            </w:r>
          </w:p>
        </w:tc>
        <w:tc>
          <w:tcPr/>
          <w:p>
            <w:pPr>
              <w:pStyle w:val="Compact"/>
            </w:pPr>
            <w:r>
              <w:t xml:space="preserve">Strong preference</w:t>
            </w:r>
          </w:p>
        </w:tc>
        <w:tc>
          <w:tcPr/>
          <w:p>
            <w:pPr>
              <w:pStyle w:val="Compact"/>
            </w:pPr>
            <w:r>
              <w:t xml:space="preserve">Can consider modifications with value</w:t>
            </w:r>
          </w:p>
        </w:tc>
      </w:tr>
    </w:tbl>
    <w:p>
      <w:pPr>
        <w:pStyle w:val="Heading2"/>
      </w:pPr>
      <w:bookmarkStart w:id="34" w:name="_683e4e26010e4b7794a19c85d0ecca809fad4b8"/>
      <w:r>
        <w:t xml:space="preserve">7. Escalation Triggers Not Observed</w:t>
      </w:r>
      <w:bookmarkEnd w:id="34"/>
    </w:p>
    <w:p>
      <w:pPr>
        <w:pStyle w:val="FirstParagraph"/>
      </w:pPr>
      <w:r>
        <w:t xml:space="preserve">Based on available evidence review, the following playbook escalation triggers were</w:t>
      </w:r>
      <w:r>
        <w:t xml:space="preserve"> </w:t>
      </w:r>
      <w:r>
        <w:rPr>
          <w:b/>
          <w:bCs/>
        </w:rPr>
        <w:t xml:space="preserve">not observed</w:t>
      </w:r>
      <w:r>
        <w:t xml:space="preserve"> </w:t>
      </w:r>
      <w:r>
        <w:t xml:space="preserve">in the accessible markup:</w:t>
      </w:r>
    </w:p>
    <w:p>
      <w:pPr>
        <w:pStyle w:val="Compact"/>
        <w:numPr>
          <w:ilvl w:val="0"/>
          <w:numId w:val="1001"/>
        </w:numPr>
      </w:pPr>
      <w:r>
        <w:t xml:space="preserve">Reduction of closing cash below $102M without offsetting value</w:t>
      </w:r>
    </w:p>
    <w:p>
      <w:pPr>
        <w:pStyle w:val="Compact"/>
        <w:numPr>
          <w:ilvl w:val="0"/>
          <w:numId w:val="1001"/>
        </w:numPr>
      </w:pPr>
      <w:r>
        <w:t xml:space="preserve">Elimination of holdback or removal of setoff rights</w:t>
      </w:r>
    </w:p>
    <w:p>
      <w:pPr>
        <w:pStyle w:val="Compact"/>
        <w:numPr>
          <w:ilvl w:val="0"/>
          <w:numId w:val="1001"/>
        </w:numPr>
      </w:pPr>
      <w:r>
        <w:t xml:space="preserve">Indemnity cap below 8.5% EV</w:t>
      </w:r>
    </w:p>
    <w:p>
      <w:pPr>
        <w:pStyle w:val="Compact"/>
        <w:numPr>
          <w:ilvl w:val="0"/>
          <w:numId w:val="1001"/>
        </w:numPr>
      </w:pPr>
      <w:r>
        <w:t xml:space="preserve">True deductible above 0.50% EV</w:t>
      </w:r>
    </w:p>
    <w:p>
      <w:pPr>
        <w:pStyle w:val="Compact"/>
        <w:numPr>
          <w:ilvl w:val="0"/>
          <w:numId w:val="1001"/>
        </w:numPr>
      </w:pPr>
      <w:r>
        <w:t xml:space="preserve">General R&amp;W survival below 15 months</w:t>
      </w:r>
    </w:p>
    <w:p>
      <w:pPr>
        <w:pStyle w:val="Compact"/>
        <w:numPr>
          <w:ilvl w:val="0"/>
          <w:numId w:val="1001"/>
        </w:numPr>
      </w:pPr>
      <w:r>
        <w:t xml:space="preserve">Fundamental R&amp;W survival below 36 months</w:t>
      </w:r>
    </w:p>
    <w:p>
      <w:pPr>
        <w:pStyle w:val="Compact"/>
        <w:numPr>
          <w:ilvl w:val="0"/>
          <w:numId w:val="1001"/>
        </w:numPr>
      </w:pPr>
      <w:r>
        <w:t xml:space="preserve">Non-compete below 2 years (for sellers receiving &gt;$20M)</w:t>
      </w:r>
    </w:p>
    <w:p>
      <w:pPr>
        <w:pStyle w:val="Compact"/>
        <w:numPr>
          <w:ilvl w:val="0"/>
          <w:numId w:val="1001"/>
        </w:numPr>
      </w:pPr>
      <w:r>
        <w:t xml:space="preserve">Non-compete geography limited to state scope</w:t>
      </w:r>
    </w:p>
    <w:p>
      <w:pPr>
        <w:pStyle w:val="Compact"/>
        <w:numPr>
          <w:ilvl w:val="0"/>
          <w:numId w:val="1001"/>
        </w:numPr>
      </w:pPr>
      <w:r>
        <w:t xml:space="preserve">Reverse break-up fee above 3% EV</w:t>
      </w:r>
    </w:p>
    <w:p>
      <w:pPr>
        <w:pStyle w:val="Compact"/>
        <w:numPr>
          <w:ilvl w:val="0"/>
          <w:numId w:val="1001"/>
        </w:numPr>
      </w:pPr>
      <w:r>
        <w:t xml:space="preserve">Drop-dead date earlier than September 15, 2025</w:t>
      </w:r>
    </w:p>
    <w:p>
      <w:pPr>
        <w:pStyle w:val="Compact"/>
        <w:numPr>
          <w:ilvl w:val="0"/>
          <w:numId w:val="1001"/>
        </w:numPr>
      </w:pPr>
      <w:r>
        <w:t xml:space="preserve">Non-Delaware governing law</w:t>
      </w:r>
    </w:p>
    <w:p>
      <w:pPr>
        <w:pStyle w:val="Compact"/>
        <w:numPr>
          <w:ilvl w:val="0"/>
          <w:numId w:val="1001"/>
        </w:numPr>
      </w:pPr>
      <w:r>
        <w:t xml:space="preserve">Chicago arbitration without expanded discovery</w:t>
      </w:r>
    </w:p>
    <w:p>
      <w:pPr>
        <w:pStyle w:val="Compact"/>
        <w:numPr>
          <w:ilvl w:val="0"/>
          <w:numId w:val="1001"/>
        </w:numPr>
      </w:pPr>
      <w:r>
        <w:t xml:space="preserve">Bare actual knowledge qualifier; fewer than 4-person knowledge group</w:t>
      </w:r>
    </w:p>
    <w:p>
      <w:pPr>
        <w:pStyle w:val="Compact"/>
        <w:numPr>
          <w:ilvl w:val="0"/>
          <w:numId w:val="1001"/>
        </w:numPr>
      </w:pPr>
      <w:r>
        <w:t xml:space="preserve">Prohibition of 338(h)(10) election without deal partner approval</w:t>
      </w:r>
    </w:p>
    <w:p>
      <w:pPr>
        <w:pStyle w:val="Heading2"/>
      </w:pPr>
      <w:bookmarkStart w:id="35" w:name="_81221cc23be0625102b5889cb32c91396461a00"/>
      <w:r>
        <w:t xml:space="preserve">8. Recommendations and Redline Language</w:t>
      </w:r>
      <w:bookmarkEnd w:id="35"/>
    </w:p>
    <w:p>
      <w:pPr>
        <w:pStyle w:val="Heading3"/>
      </w:pPr>
      <w:bookmarkStart w:id="36" w:name="_b384793adae9be0c87291fcca50f5bbb49284f7"/>
      <w:r>
        <w:t xml:space="preserve">8.1 Immediate Actions Required</w:t>
      </w:r>
      <w:bookmarkEnd w:id="36"/>
    </w:p>
    <w:p>
      <w:pPr>
        <w:pStyle w:val="FirstParagraph"/>
        <w:numPr>
          <w:ilvl w:val="0"/>
          <w:numId w:val="1002"/>
        </w:numPr>
      </w:pPr>
      <w:r>
        <w:rPr>
          <w:b/>
          <w:bCs/>
        </w:rPr>
        <w:t xml:space="preserve">Full Document Review Required:</w:t>
      </w:r>
      <w:r>
        <w:t xml:space="preserve"> </w:t>
      </w:r>
      <w:r>
        <w:t xml:space="preserve">The analysis is based on accessible chunks only. A complete review of all sections is necessary to identify any hidden deviations.</w:t>
      </w:r>
    </w:p>
    <w:p>
      <w:pPr>
        <w:pStyle w:val="FirstParagraph"/>
        <w:numPr>
          <w:ilvl w:val="0"/>
          <w:numId w:val="1002"/>
        </w:numPr>
      </w:pPr>
      <w:r>
        <w:rPr>
          <w:b/>
          <w:bCs/>
        </w:rPr>
        <w:t xml:space="preserve">Verification Points:</w:t>
      </w:r>
      <w:r>
        <w:t xml:space="preserve"> </w:t>
      </w:r>
      <w:r>
        <w:t xml:space="preserve">Specific attention should be paid to:</w:t>
      </w:r>
    </w:p>
    <w:p>
      <w:pPr>
        <w:pStyle w:val="Compact"/>
        <w:numPr>
          <w:ilvl w:val="1"/>
          <w:numId w:val="1003"/>
        </w:numPr>
      </w:pPr>
      <w:r>
        <w:t xml:space="preserve">Section 10.1 (Indemnification Cap)</w:t>
      </w:r>
    </w:p>
    <w:p>
      <w:pPr>
        <w:pStyle w:val="Compact"/>
        <w:numPr>
          <w:ilvl w:val="1"/>
          <w:numId w:val="1003"/>
        </w:numPr>
      </w:pPr>
      <w:r>
        <w:t xml:space="preserve">Section 10.2 (Indemnification Procedures)</w:t>
      </w:r>
    </w:p>
    <w:p>
      <w:pPr>
        <w:pStyle w:val="Compact"/>
        <w:numPr>
          <w:ilvl w:val="1"/>
          <w:numId w:val="1003"/>
        </w:numPr>
      </w:pPr>
      <w:r>
        <w:t xml:space="preserve">Section 6.3-6.5 (Survival Periods)</w:t>
      </w:r>
    </w:p>
    <w:p>
      <w:pPr>
        <w:pStyle w:val="Compact"/>
        <w:numPr>
          <w:ilvl w:val="1"/>
          <w:numId w:val="1003"/>
        </w:numPr>
      </w:pPr>
      <w:r>
        <w:t xml:space="preserve">Section 5.1 (Closing Conditions)</w:t>
      </w:r>
    </w:p>
    <w:p>
      <w:pPr>
        <w:pStyle w:val="Compact"/>
        <w:numPr>
          <w:ilvl w:val="1"/>
          <w:numId w:val="1003"/>
        </w:numPr>
      </w:pPr>
      <w:r>
        <w:t xml:space="preserve">Exhibits A, B, C (Employment and Non-Compete Agreements)</w:t>
      </w:r>
    </w:p>
    <w:p>
      <w:pPr>
        <w:pStyle w:val="Compact"/>
        <w:numPr>
          <w:ilvl w:val="1"/>
          <w:numId w:val="1003"/>
        </w:numPr>
      </w:pPr>
      <w:r>
        <w:t xml:space="preserve">Schedule 1.2 (NWC Calculation)</w:t>
      </w:r>
    </w:p>
    <w:p>
      <w:pPr>
        <w:pStyle w:val="Compact"/>
        <w:numPr>
          <w:ilvl w:val="1"/>
          <w:numId w:val="1003"/>
        </w:numPr>
      </w:pPr>
      <w:r>
        <w:t xml:space="preserve">Schedule 9.2 (Specified Indemnification Matters)</w:t>
      </w:r>
    </w:p>
    <w:p>
      <w:pPr>
        <w:pStyle w:val="Heading3"/>
      </w:pPr>
      <w:bookmarkStart w:id="37" w:name="_4960ed5a5fb625a74b0c367a0860e6121e620a2"/>
      <w:r>
        <w:t xml:space="preserve">8.2 Negotiation Strategy</w:t>
      </w:r>
      <w:bookmarkEnd w:id="37"/>
    </w:p>
    <w:p>
      <w:pPr>
        <w:pStyle w:val="FirstParagraph"/>
      </w:pPr>
      <w:r>
        <w:rPr>
          <w:b/>
          <w:bCs/>
        </w:rPr>
        <w:t xml:space="preserve">Priority 1 (Must-Haves - Verify These Are Maintained):</w:t>
      </w:r>
      <w:r>
        <w:t xml:space="preserve"> </w:t>
      </w:r>
      <w:r>
        <w:t xml:space="preserve">- Holdback/escrow structure with setoff rights</w:t>
      </w:r>
      <w:r>
        <w:t xml:space="preserve"> </w:t>
      </w:r>
      <w:r>
        <w:t xml:space="preserve">- Indemnification cap ≥ 8.5% EV</w:t>
      </w:r>
      <w:r>
        <w:t xml:space="preserve"> </w:t>
      </w:r>
      <w:r>
        <w:t xml:space="preserve">- Tipping basket retention</w:t>
      </w:r>
      <w:r>
        <w:t xml:space="preserve"> </w:t>
      </w:r>
      <w:r>
        <w:t xml:space="preserve">- Knowledge qualifier with reasonable inquiry and 4-person group</w:t>
      </w:r>
      <w:r>
        <w:t xml:space="preserve"> </w:t>
      </w:r>
      <w:r>
        <w:t xml:space="preserve">- Customer consent closing conditions (especially Orion Data Consortium)</w:t>
      </w:r>
      <w:r>
        <w:t xml:space="preserve"> </w:t>
      </w:r>
      <w:r>
        <w:t xml:space="preserve">- Non-compete ≥ 2 years nationwide (for founders receiving &gt;$20M)</w:t>
      </w:r>
      <w:r>
        <w:t xml:space="preserve"> </w:t>
      </w:r>
      <w:r>
        <w:t xml:space="preserve">- R&amp;W survival ≥ 15 months general, ≥ 36 months fundamental</w:t>
      </w:r>
      <w:r>
        <w:t xml:space="preserve"> </w:t>
      </w:r>
      <w:r>
        <w:t xml:space="preserve">- Delaware governing law</w:t>
      </w:r>
      <w:r>
        <w:t xml:space="preserve"> </w:t>
      </w:r>
      <w:r>
        <w:t xml:space="preserve">- Delaware forum selection (arbitration only as last resort with Wilmington seat)</w:t>
      </w:r>
    </w:p>
    <w:p>
      <w:pPr>
        <w:pStyle w:val="BodyText"/>
      </w:pPr>
      <w:r>
        <w:rPr>
          <w:b/>
          <w:bCs/>
        </w:rPr>
        <w:t xml:space="preserve">Priority 2 (Strong Preferences - Negotiate for Value):</w:t>
      </w:r>
      <w:r>
        <w:t xml:space="preserve"> </w:t>
      </w:r>
      <w:r>
        <w:t xml:space="preserve">- No earnout (or ≤5% EV with approval if unavoidable)</w:t>
      </w:r>
      <w:r>
        <w:t xml:space="preserve"> </w:t>
      </w:r>
      <w:r>
        <w:t xml:space="preserve">- No reverse break-up fee (or ≤3% EV if unavoidable)</w:t>
      </w:r>
      <w:r>
        <w:t xml:space="preserve"> </w:t>
      </w:r>
      <w:r>
        <w:t xml:space="preserve">- Preserve 338(h)(10) election option</w:t>
      </w:r>
      <w:r>
        <w:t xml:space="preserve"> </w:t>
      </w:r>
      <w:r>
        <w:t xml:space="preserve">- Tax indemnity for sellers if election prohibited</w:t>
      </w:r>
    </w:p>
    <w:p>
      <w:pPr>
        <w:pStyle w:val="BodyText"/>
      </w:pPr>
      <w:r>
        <w:rPr>
          <w:b/>
          <w:bCs/>
        </w:rPr>
        <w:t xml:space="preserve">Priority 3 (Nice-to-Have - Concede for Value):</w:t>
      </w:r>
      <w:r>
        <w:t xml:space="preserve"> </w:t>
      </w:r>
      <w:r>
        <w:t xml:space="preserve">- Consider 1.0% EV tipping basket in exchange for 8.5% cap</w:t>
      </w:r>
      <w:r>
        <w:t xml:space="preserve"> </w:t>
      </w:r>
      <w:r>
        <w:t xml:space="preserve">- Consider 15-month general R&amp;W survival in exchange for indemnification concessions</w:t>
      </w:r>
      <w:r>
        <w:t xml:space="preserve"> </w:t>
      </w:r>
      <w:r>
        <w:t xml:space="preserve">- Consider 2-year non-compete in exchange for other value</w:t>
      </w:r>
      <w:r>
        <w:t xml:space="preserve"> </w:t>
      </w:r>
      <w:r>
        <w:t xml:space="preserve">- Consider holdback modifications with economic offset</w:t>
      </w:r>
    </w:p>
    <w:p>
      <w:pPr>
        <w:pStyle w:val="Heading3"/>
      </w:pPr>
      <w:bookmarkStart w:id="38" w:name="_bf7d83a4f6c3b5bd8f2fa4351f0054aa4a7cbf3"/>
      <w:r>
        <w:t xml:space="preserve">8.3 Sample Redline Language for Negotiation</w:t>
      </w:r>
      <w:bookmarkEnd w:id="38"/>
    </w:p>
    <w:p>
      <w:pPr>
        <w:pStyle w:val="FirstParagraph"/>
      </w:pPr>
      <w:r>
        <w:t xml:space="preserve">If seller proposes detrimental changes, consider these counter-proposals:</w:t>
      </w:r>
    </w:p>
    <w:p>
      <w:pPr>
        <w:pStyle w:val="BodyText"/>
      </w:pPr>
      <w:r>
        <w:rPr>
          <w:b/>
          <w:bCs/>
        </w:rPr>
        <w:t xml:space="preserve">For Indemnification Cap Reduction:</w:t>
      </w:r>
      <w:r>
        <w:t xml:space="preserve"> </w:t>
      </w:r>
      <w:r>
        <w:t xml:space="preserve">&gt;</w:t>
      </w:r>
      <w:r>
        <w:t xml:space="preserve"> </w:t>
      </w:r>
      <w:r>
        <w:t xml:space="preserve">“Seller proposes to reduce the general indemnity cap to [X]% EV. Buyer is willing to accept [8.5%]% EV cap provided that: (i) the deductible basket remains a tipping basket at no less than [0.75%]% EV, and (ii) the survival period for general representations and warranties remains no less than [18] months.”</w:t>
      </w:r>
    </w:p>
    <w:p>
      <w:pPr>
        <w:pStyle w:val="BodyText"/>
      </w:pPr>
      <w:r>
        <w:rPr>
          <w:b/>
          <w:bCs/>
        </w:rPr>
        <w:t xml:space="preserve">For Survival Period Reduction:</w:t>
      </w:r>
      <w:r>
        <w:t xml:space="preserve"> </w:t>
      </w:r>
      <w:r>
        <w:t xml:space="preserve">&gt;</w:t>
      </w:r>
      <w:r>
        <w:t xml:space="preserve"> </w:t>
      </w:r>
      <w:r>
        <w:t xml:space="preserve">“Seller proposes to reduce the survival period for general representations and warranties to [X] months. Buyer is willing to accept [15] months provided that: (i) the general indemnity cap remains no less than [8.5%]% EV, and (ii) the deductible basket remains a tipping basket at no less than [0.75%]% EV.”</w:t>
      </w:r>
    </w:p>
    <w:p>
      <w:pPr>
        <w:pStyle w:val="BodyText"/>
      </w:pPr>
      <w:r>
        <w:rPr>
          <w:b/>
          <w:bCs/>
        </w:rPr>
        <w:t xml:space="preserve">For Non-Compete Reduction:</w:t>
      </w:r>
      <w:r>
        <w:t xml:space="preserve"> </w:t>
      </w:r>
      <w:r>
        <w:t xml:space="preserve">&gt;</w:t>
      </w:r>
      <w:r>
        <w:t xml:space="preserve"> </w:t>
      </w:r>
      <w:r>
        <w:t xml:space="preserve">“Seller proposes to reduce the non-compete duration to [X] years. Buyer is willing to accept [2] years for sellers receiving greater than $20,000,000 in consideration, provided that the geographic scope remains nationwide (United States).”</w:t>
      </w:r>
    </w:p>
    <w:p>
      <w:pPr>
        <w:pStyle w:val="Heading2"/>
      </w:pPr>
      <w:bookmarkStart w:id="39" w:name="_conclusion"/>
      <w:r>
        <w:t xml:space="preserve">9. Conclusion</w:t>
      </w:r>
      <w:bookmarkEnd w:id="39"/>
    </w:p>
    <w:p>
      <w:pPr>
        <w:pStyle w:val="FirstParagraph"/>
      </w:pPr>
      <w:r>
        <w:t xml:space="preserve">Based on the available evidence review, the seller’s markup appears to maintain most of the buyer’s core protections within acceptable ranges. However, a</w:t>
      </w:r>
      <w:r>
        <w:t xml:space="preserve"> </w:t>
      </w:r>
      <w:r>
        <w:rPr>
          <w:b/>
          <w:bCs/>
        </w:rPr>
        <w:t xml:space="preserve">complete document review is essential</w:t>
      </w:r>
      <w:r>
        <w:t xml:space="preserve"> </w:t>
      </w:r>
      <w:r>
        <w:t xml:space="preserve">to confirm that no walk-away positions have been inadvertently accepted in sections not available in the current chunk review.</w:t>
      </w:r>
    </w:p>
    <w:p>
      <w:pPr>
        <w:pStyle w:val="BodyText"/>
      </w:pPr>
      <w:r>
        <w:t xml:space="preserve">The most significant economic risk identified is the potential dilution from the 1.2M share option pool created in the seller’s markup, which represents approximately $15.3M in value that would effectively come from the buyer’s post-acquisition ownership if not properly funded.</w:t>
      </w:r>
    </w:p>
    <w:p>
      <w:pPr>
        <w:pStyle w:val="BodyText"/>
      </w:pPr>
      <w:r>
        <w:rPr>
          <w:b/>
          <w:bCs/>
        </w:rPr>
        <w:t xml:space="preserve">Next Steps:</w:t>
      </w:r>
      <w:r>
        <w:t xml:space="preserve"> </w:t>
      </w:r>
      <w:r>
        <w:t xml:space="preserve">1. Conduct complete review of all document sections</w:t>
      </w:r>
      <w:r>
        <w:t xml:space="preserve"> </w:t>
      </w:r>
      <w:r>
        <w:t xml:space="preserve">2. Verify all provisions against negotiation playbook thresholds</w:t>
      </w:r>
      <w:r>
        <w:t xml:space="preserve"> </w:t>
      </w:r>
      <w:r>
        <w:t xml:space="preserve">3. Prepare escalation memo for any walk-away deviations</w:t>
      </w:r>
      <w:r>
        <w:t xml:space="preserve"> </w:t>
      </w:r>
      <w:r>
        <w:t xml:space="preserve">4. Develop negotiation strategy based on verified deviations</w:t>
      </w:r>
      <w:r>
        <w:t xml:space="preserve"> </w:t>
      </w:r>
      <w:r>
        <w:t xml:space="preserve">5. Engage seller’s counsel with specific counter-proposals</w:t>
      </w:r>
    </w:p>
    <w:p>
      <w:r>
        <w:pict>
          <v:rect style="width:0;height:1.5pt" o:hralign="center" o:hrstd="t" o:hr="t"/>
        </w:pict>
      </w:r>
    </w:p>
    <w:p>
      <w:pPr>
        <w:pStyle w:val="FirstParagraph"/>
      </w:pPr>
      <w:r>
        <w:rPr>
          <w:i/>
          <w:iCs/>
        </w:rPr>
        <w:t xml:space="preserve">Prepared for: Pinnacle Software Holdings, Inc. Deal Team</w:t>
      </w:r>
      <w:r>
        <w:br/>
      </w:r>
      <w:r>
        <w:rPr>
          <w:i/>
          <w:iCs/>
        </w:rPr>
        <w:t xml:space="preserve">Date: Based on documents dated April 16 - May 2, 2025</w:t>
      </w:r>
      <w:r>
        <w:br/>
      </w:r>
      <w:r>
        <w:rPr>
          <w:i/>
          <w:iCs/>
        </w:rPr>
        <w:t xml:space="preserve">Confidentiality: Attorney-Client Privileged</w:t>
      </w:r>
      <w:r>
        <w:br/>
      </w:r>
      <w:r>
        <w:rPr>
          <w:i/>
          <w:iCs/>
        </w:rPr>
        <w:t xml:space="preserve">Note: This analysis is preliminary pending complete document review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2026-10-19T22:50:16Z</dcterms:created>
  <dcterms:modified xsi:type="dcterms:W3CDTF">2026-10-19T22:50:16Z</dcterms:modified>
</cp:coreProperties>
</file>

<file path=docProps/custom.xml><?xml version="1.0" encoding="utf-8"?>
<Properties xmlns="http://schemas.openxmlformats.org/officeDocument/2006/custom-properties" xmlns:vt="http://schemas.openxmlformats.org/officeDocument/2006/docPropsVTypes"/>
</file>