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9" w:name="_ac95ca75980be1255ca22a4933b6d4f50aa4c6b"/>
      <w:r>
        <w:t xml:space="preserve">Opposition to Defendant’s Motion to Dismiss</w:t>
      </w:r>
      <w:bookmarkEnd w:id="9"/>
    </w:p>
    <w:p>
      <w:pPr>
        <w:pStyle w:val="FirstParagraph"/>
      </w:pPr>
      <w:r>
        <w:rPr>
          <w:b/>
          <w:bCs/>
        </w:rPr>
        <w:t xml:space="preserve">Pinnacle Staffing Solutions, Inc. v. DataCore Systems, Inc.</w:t>
      </w:r>
      <w:r>
        <w:br/>
      </w:r>
      <w:r>
        <w:t xml:space="preserve">United States District Court for the Northern District of Georgia, Atlanta Division</w:t>
      </w:r>
      <w:r>
        <w:br/>
      </w:r>
      <w:r>
        <w:t xml:space="preserve">Civil Action No. 1:24‑cv‑01287‑RWS</w:t>
      </w:r>
    </w:p>
    <w:p>
      <w:r>
        <w:pict>
          <v:rect style="width:0;height:1.5pt" o:hralign="center" o:hrstd="t" o:hr="t"/>
        </w:pict>
      </w:r>
    </w:p>
    <w:p>
      <w:pPr>
        <w:pStyle w:val="Heading2"/>
      </w:pPr>
      <w:bookmarkStart w:id="10" w:name="_f990d51b53e36c17355a6666bd6589b8aa26857"/>
      <w:r>
        <w:t xml:space="preserve">I. INTRODUCTION</w:t>
      </w:r>
      <w:bookmarkEnd w:id="10"/>
    </w:p>
    <w:p>
      <w:pPr>
        <w:pStyle w:val="FirstParagraph"/>
      </w:pPr>
      <w:r>
        <w:t xml:space="preserve">Plaintiff Pinnacle Staffing Solutions, Inc. (“Pinnacle”) respectfully opposes Defendant DataCore Systems, Inc.’s (“DataCore”) Motion to Dismiss pursuant to Fed. R. Civ. P. 12(b)(1), 12(b)(2), 12(b)(3), and 12(b)(6). The Complaint adequately pleads (1) subject‑matter jurisdiction based on diversity of citizenship and an amount in controversy exceeding $75,000; (2) personal jurisdiction because DataCore purposefully availed itself of conducting business in Georgia through its Atlanta‑based sales team, regional office, and contract execution; (3) proper venue because the forum‑selection clause in the MSA is unenforceable as procured by fraud and overreaching, and even if enforceable the Northern District of Georgia remains a convenient forum; and (4) a plausible claim for relief on each of the four counts—breach of contract, fraudulent inducement, negligent misrepresentation, and violation of the Georgia Uniform Deceptive Trade Practices Act (“GUDTPA”). DataCore’s reliance on contractual limitations, liability caps, consequential‑damages waivers, and the integration clause is misplaced because those provisions are unenforceable to the extent they would immunize DataCore for its own material and willful breaches, and because Pinnacle’s claims are not barred by the one‑year contractual limitations period.</w:t>
      </w:r>
    </w:p>
    <w:p>
      <w:r>
        <w:pict>
          <v:rect style="width:0;height:1.5pt" o:hralign="center" o:hrstd="t" o:hr="t"/>
        </w:pict>
      </w:r>
    </w:p>
    <w:p>
      <w:pPr>
        <w:pStyle w:val="Heading2"/>
      </w:pPr>
      <w:bookmarkStart w:id="11" w:name="_e389fe9f6cff23297aa0be591a2d464db516821"/>
      <w:r>
        <w:t xml:space="preserve">II. SUBJECT‑MATTER JURISDICTION</w:t>
      </w:r>
      <w:bookmarkEnd w:id="11"/>
    </w:p>
    <w:p>
      <w:pPr>
        <w:pStyle w:val="Heading3"/>
      </w:pPr>
      <w:bookmarkStart w:id="12" w:name="_a96a5bca315e5e8e74be58a26f36fc492485181"/>
      <w:r>
        <w:t xml:space="preserve">A. Diversity Jurisdiction Exists</w:t>
      </w:r>
      <w:bookmarkEnd w:id="12"/>
    </w:p>
    <w:p>
      <w:pPr>
        <w:pStyle w:val="Compact"/>
        <w:numPr>
          <w:ilvl w:val="0"/>
          <w:numId w:val="1001"/>
        </w:numPr>
      </w:pPr>
      <w:r>
        <w:t xml:space="preserve">Pinnacle is a Georgia corporation with its principal place of business at 3200 Peachtree Road NE, Suite 1400, Atlanta, Georgia 30305 (Complaint ¶ 7‑8).</w:t>
      </w:r>
      <w:r>
        <w:br/>
      </w:r>
    </w:p>
    <w:p>
      <w:pPr>
        <w:pStyle w:val="Compact"/>
        <w:numPr>
          <w:ilvl w:val="0"/>
          <w:numId w:val="1001"/>
        </w:numPr>
      </w:pPr>
      <w:r>
        <w:t xml:space="preserve">DataCore is a Delaware corporation with its principal place of business at 750 Innovation Drive, Suite 300, Austin, Texas 78759 (Complaint ¶ 10‑11; Whitford Declaration ¶ 3‑5).</w:t>
      </w:r>
      <w:r>
        <w:br/>
      </w:r>
    </w:p>
    <w:p>
      <w:pPr>
        <w:pStyle w:val="Compact"/>
        <w:numPr>
          <w:ilvl w:val="0"/>
          <w:numId w:val="1001"/>
        </w:numPr>
      </w:pPr>
      <w:r>
        <w:t xml:space="preserve">No party shares citizenship with any other party.</w:t>
      </w:r>
    </w:p>
    <w:p>
      <w:pPr>
        <w:pStyle w:val="Heading3"/>
      </w:pPr>
      <w:bookmarkStart w:id="13" w:name="_32342efb4b1775d1dd72c9168a3a2db49d92717"/>
      <w:r>
        <w:t xml:space="preserve">B. Amount in Controversy Exceeds the Statutory Threshold</w:t>
      </w:r>
      <w:bookmarkEnd w:id="13"/>
    </w:p>
    <w:p>
      <w:pPr>
        <w:pStyle w:val="Compact"/>
        <w:numPr>
          <w:ilvl w:val="0"/>
          <w:numId w:val="1002"/>
        </w:numPr>
      </w:pPr>
      <w:r>
        <w:t xml:space="preserve">Pinnacle seeks</w:t>
      </w:r>
      <w:r>
        <w:t xml:space="preserve"> </w:t>
      </w:r>
      <w:r>
        <w:rPr>
          <w:b/>
          <w:bCs/>
        </w:rPr>
        <w:t xml:space="preserve">actual damages</w:t>
      </w:r>
      <w:r>
        <w:t xml:space="preserve"> </w:t>
      </w:r>
      <w:r>
        <w:t xml:space="preserve">of at least</w:t>
      </w:r>
      <w:r>
        <w:t xml:space="preserve"> </w:t>
      </w:r>
      <w:r>
        <w:rPr>
          <w:b/>
          <w:bCs/>
        </w:rPr>
        <w:t xml:space="preserve">$2,335,000</w:t>
      </w:r>
      <w:r>
        <w:t xml:space="preserve"> </w:t>
      </w:r>
      <w:r>
        <w:t xml:space="preserve">(the total contract value) (Complaint ¶ 80; Motion to Dismiss ¶ 127).</w:t>
      </w:r>
      <w:r>
        <w:br/>
      </w:r>
    </w:p>
    <w:p>
      <w:pPr>
        <w:pStyle w:val="Compact"/>
        <w:numPr>
          <w:ilvl w:val="0"/>
          <w:numId w:val="1002"/>
        </w:numPr>
      </w:pPr>
      <w:r>
        <w:t xml:space="preserve">Pinnacle seeks</w:t>
      </w:r>
      <w:r>
        <w:t xml:space="preserve"> </w:t>
      </w:r>
      <w:r>
        <w:rPr>
          <w:b/>
          <w:bCs/>
        </w:rPr>
        <w:t xml:space="preserve">reliance damages</w:t>
      </w:r>
      <w:r>
        <w:t xml:space="preserve"> </w:t>
      </w:r>
      <w:r>
        <w:t xml:space="preserve">of</w:t>
      </w:r>
      <w:r>
        <w:t xml:space="preserve"> </w:t>
      </w:r>
      <w:r>
        <w:rPr>
          <w:b/>
          <w:bCs/>
        </w:rPr>
        <w:t xml:space="preserve">$931,000</w:t>
      </w:r>
      <w:r>
        <w:t xml:space="preserve"> </w:t>
      </w:r>
      <w:r>
        <w:t xml:space="preserve">(fees already paid) (Complaint ¶ 80; Motion to Dismiss ¶ 127).</w:t>
      </w:r>
      <w:r>
        <w:br/>
      </w:r>
    </w:p>
    <w:p>
      <w:pPr>
        <w:pStyle w:val="Compact"/>
        <w:numPr>
          <w:ilvl w:val="0"/>
          <w:numId w:val="1002"/>
        </w:numPr>
      </w:pPr>
      <w:r>
        <w:t xml:space="preserve">Pinnacle seeks</w:t>
      </w:r>
      <w:r>
        <w:t xml:space="preserve"> </w:t>
      </w:r>
      <w:r>
        <w:rPr>
          <w:b/>
          <w:bCs/>
        </w:rPr>
        <w:t xml:space="preserve">consequential damages</w:t>
      </w:r>
      <w:r>
        <w:t xml:space="preserve"> </w:t>
      </w:r>
      <w:r>
        <w:t xml:space="preserve">of approximately</w:t>
      </w:r>
      <w:r>
        <w:t xml:space="preserve"> </w:t>
      </w:r>
      <w:r>
        <w:rPr>
          <w:b/>
          <w:bCs/>
        </w:rPr>
        <w:t xml:space="preserve">$1,200,000</w:t>
      </w:r>
      <w:r>
        <w:t xml:space="preserve"> </w:t>
      </w:r>
      <w:r>
        <w:t xml:space="preserve">(replacement system costs and lost business) (Complaint ¶ 81; Motion to Dismiss ¶ 127).</w:t>
      </w:r>
      <w:r>
        <w:br/>
      </w:r>
    </w:p>
    <w:p>
      <w:pPr>
        <w:pStyle w:val="Compact"/>
        <w:numPr>
          <w:ilvl w:val="0"/>
          <w:numId w:val="1002"/>
        </w:numPr>
      </w:pPr>
      <w:r>
        <w:t xml:space="preserve">Even without consequential damages, the sum of actual and reliance damages ($3,266,000) far exceeds the $75,000 jurisdictional minimum under 28 U.S.C. § 1332(a).</w:t>
      </w:r>
    </w:p>
    <w:p>
      <w:pPr>
        <w:pStyle w:val="FirstParagraph"/>
      </w:pPr>
      <w:r>
        <w:rPr>
          <w:b/>
          <w:bCs/>
        </w:rPr>
        <w:t xml:space="preserve">Conclusion:</w:t>
      </w:r>
      <w:r>
        <w:t xml:space="preserve"> </w:t>
      </w:r>
      <w:r>
        <w:t xml:space="preserve">The Court has subject‑matter jurisdiction.</w:t>
      </w:r>
    </w:p>
    <w:p>
      <w:r>
        <w:pict>
          <v:rect style="width:0;height:1.5pt" o:hralign="center" o:hrstd="t" o:hr="t"/>
        </w:pict>
      </w:r>
    </w:p>
    <w:p>
      <w:pPr>
        <w:pStyle w:val="Heading2"/>
      </w:pPr>
      <w:bookmarkStart w:id="14" w:name="_445477a0b127fb0f8900cff0f37f6178febaf47"/>
      <w:r>
        <w:t xml:space="preserve">III. PERSONAL JURISDICTION</w:t>
      </w:r>
      <w:bookmarkEnd w:id="14"/>
    </w:p>
    <w:p>
      <w:pPr>
        <w:pStyle w:val="Heading3"/>
      </w:pPr>
      <w:bookmarkStart w:id="15" w:name="_cac0c985e0c9bf04e4bc70a2535252843c2a22c"/>
      <w:r>
        <w:t xml:space="preserve">A. Specific Jurisdiction Under Georgia’s Long‑Arm Statute</w:t>
      </w:r>
      <w:bookmarkEnd w:id="15"/>
    </w:p>
    <w:p>
      <w:pPr>
        <w:pStyle w:val="FirstParagraph"/>
      </w:pPr>
      <w:r>
        <w:t xml:space="preserve">DataCore purposefully directed its sales and marketing activities toward Pinnacle in Georgia:</w:t>
      </w:r>
    </w:p>
    <w:p>
      <w:pPr>
        <w:pStyle w:val="Compact"/>
        <w:numPr>
          <w:ilvl w:val="0"/>
          <w:numId w:val="1003"/>
        </w:numPr>
      </w:pPr>
      <w:r>
        <w:t xml:space="preserve">Victor Sousa, DataCore’s Vice President of Sales for the Southeast Region, operated out of DataCore’s Atlanta office at 100 Techwood Drive NW, Atlanta, Georgia 30318 (Complaint ¶ 11‑12; Sousa email Jan 10, 2022).</w:t>
      </w:r>
      <w:r>
        <w:br/>
      </w:r>
    </w:p>
    <w:p>
      <w:pPr>
        <w:pStyle w:val="Compact"/>
        <w:numPr>
          <w:ilvl w:val="0"/>
          <w:numId w:val="1003"/>
        </w:numPr>
      </w:pPr>
      <w:r>
        <w:t xml:space="preserve">Sousa sent the January 10, 2022 email to Pinnacle’s CTO Cheryl Nance representing that TalentBridge “fully integrates with all major payroll platforms, including Paychex, ADP, and Gusto, out of the box with zero custom configuration” (Complaint ¶ 28‑30; Sousa email Jan 10, 2022).</w:t>
      </w:r>
      <w:r>
        <w:br/>
      </w:r>
    </w:p>
    <w:p>
      <w:pPr>
        <w:pStyle w:val="Compact"/>
        <w:numPr>
          <w:ilvl w:val="0"/>
          <w:numId w:val="1003"/>
        </w:numPr>
      </w:pPr>
      <w:r>
        <w:t xml:space="preserve">Sousa and Derek Baines conducted live product demonstrations on January 18, 2022 and February 7, 2022 for Pinnacle personnel in Georgia (Complaint ¶ 31‑34).</w:t>
      </w:r>
      <w:r>
        <w:br/>
      </w:r>
    </w:p>
    <w:p>
      <w:pPr>
        <w:pStyle w:val="Compact"/>
        <w:numPr>
          <w:ilvl w:val="0"/>
          <w:numId w:val="1003"/>
        </w:numPr>
      </w:pPr>
      <w:r>
        <w:t xml:space="preserve">Sousa transmitted the February 14, 2022 “Statement of Work Capabilities” document to Pinnacle in Georgia (Complaint ¶ 37‑40).</w:t>
      </w:r>
      <w:r>
        <w:br/>
      </w:r>
    </w:p>
    <w:p>
      <w:pPr>
        <w:pStyle w:val="Compact"/>
        <w:numPr>
          <w:ilvl w:val="0"/>
          <w:numId w:val="1003"/>
        </w:numPr>
      </w:pPr>
      <w:r>
        <w:t xml:space="preserve">The MSA was executed on March 15, 2022 by Sousa on behalf of DataCore and by Cheryl Nance on behalf of Pinnacle (Complaint ¶ 43‑44; MSA effective date March 15, 2022).</w:t>
      </w:r>
    </w:p>
    <w:p>
      <w:pPr>
        <w:pStyle w:val="FirstParagraph"/>
      </w:pPr>
      <w:r>
        <w:t xml:space="preserve">These contacts show that DataCore purposefully availed itself of conducting business in Georgia, and the claims arise out of those contacts. Under</w:t>
      </w:r>
      <w:r>
        <w:t xml:space="preserve"> </w:t>
      </w:r>
      <w:r>
        <w:rPr>
          <w:i/>
          <w:iCs/>
        </w:rPr>
        <w:t xml:space="preserve">International Shoe Co. v. Washington</w:t>
      </w:r>
      <w:r>
        <w:t xml:space="preserve">, 326 U.S. 310 (1945), and the Georgia Long‑Arm Statute O.C.G.A. § 9‑10‑91, specific jurisdiction is proper.</w:t>
      </w:r>
    </w:p>
    <w:p>
      <w:pPr>
        <w:pStyle w:val="Heading3"/>
      </w:pPr>
      <w:bookmarkStart w:id="16" w:name="_3c46f2b0476dc8e867974cec1b78dad738f2b40"/>
      <w:r>
        <w:t xml:space="preserve">B. General Jurisdiction Is Not Required</w:t>
      </w:r>
      <w:bookmarkEnd w:id="16"/>
    </w:p>
    <w:p>
      <w:pPr>
        <w:pStyle w:val="FirstParagraph"/>
      </w:pPr>
      <w:r>
        <w:t xml:space="preserve">Even if the Court were to find specific jurisdiction lacking, the Complaint alleges sufficient contacts to support general jurisdiction: DataCore maintains a permanent regional office in Atlanta, employs approximately fourteen (14) Georgia‑based employees, regularly services Georgia clients through that office, and solicits and executes contracts with Georgia businesses (Complaint ¶ 15‑19). While the Supreme Court in</w:t>
      </w:r>
      <w:r>
        <w:t xml:space="preserve"> </w:t>
      </w:r>
      <w:r>
        <w:rPr>
          <w:i/>
          <w:iCs/>
        </w:rPr>
        <w:t xml:space="preserve">Daimler AG v. Bauman</w:t>
      </w:r>
      <w:r>
        <w:t xml:space="preserve">, 571 U.S. 117 (2014) limits general jurisdiction to a corporation’s place of incorporation and principal place of business, the alleged contacts here are sufficient for</w:t>
      </w:r>
      <w:r>
        <w:t xml:space="preserve"> </w:t>
      </w:r>
      <w:r>
        <w:rPr>
          <w:b/>
          <w:bCs/>
        </w:rPr>
        <w:t xml:space="preserve">specific</w:t>
      </w:r>
      <w:r>
        <w:t xml:space="preserve"> </w:t>
      </w:r>
      <w:r>
        <w:t xml:space="preserve">jurisdiction, which is all that is needed.</w:t>
      </w:r>
    </w:p>
    <w:p>
      <w:pPr>
        <w:pStyle w:val="BodyText"/>
      </w:pPr>
      <w:r>
        <w:rPr>
          <w:b/>
          <w:bCs/>
        </w:rPr>
        <w:t xml:space="preserve">Conclusion:</w:t>
      </w:r>
      <w:r>
        <w:t xml:space="preserve"> </w:t>
      </w:r>
      <w:r>
        <w:t xml:space="preserve">The Court may exercise personal jurisdiction over DataCore.</w:t>
      </w:r>
    </w:p>
    <w:p>
      <w:r>
        <w:pict>
          <v:rect style="width:0;height:1.5pt" o:hralign="center" o:hrstd="t" o:hr="t"/>
        </w:pict>
      </w:r>
    </w:p>
    <w:p>
      <w:pPr>
        <w:pStyle w:val="Heading2"/>
      </w:pPr>
      <w:bookmarkStart w:id="17" w:name="_f4c866fc02f214ea21a3faf3f8ac62ecc5f153f"/>
      <w:r>
        <w:t xml:space="preserve">IV. VENUE</w:t>
      </w:r>
      <w:bookmarkEnd w:id="17"/>
    </w:p>
    <w:p>
      <w:pPr>
        <w:pStyle w:val="Heading3"/>
      </w:pPr>
      <w:bookmarkStart w:id="18" w:name="_12e5b7b1ed88e4429bef8ce0c7031a8e2aeedcd"/>
      <w:r>
        <w:t xml:space="preserve">A. The Forum‑Selection Clause Is Unenforceable</w:t>
      </w:r>
      <w:bookmarkEnd w:id="18"/>
    </w:p>
    <w:p>
      <w:pPr>
        <w:pStyle w:val="FirstParagraph"/>
      </w:pPr>
      <w:r>
        <w:t xml:space="preserve">The MSA contains a forum‑selection clause providing:</w:t>
      </w:r>
    </w:p>
    <w:p>
      <w:pPr>
        <w:pStyle w:val="BlockText"/>
      </w:pPr>
      <w:r>
        <w:t xml:space="preserve">“Any dispute arising out of or relating to this Agreement shall be resolved exclusively in the state or federal courts located in Travis County, Texas.” (MSA § 14.2; Complaint ¶ 48; Motion to Dismiss ¶ 104).</w:t>
      </w:r>
    </w:p>
    <w:p>
      <w:pPr>
        <w:pStyle w:val="FirstParagraph"/>
      </w:pPr>
      <w:r>
        <w:t xml:space="preserve">However, a forum‑selection clause procured by fraud, undue influence, or overreaching is unenforceable.</w:t>
      </w:r>
      <w:r>
        <w:t xml:space="preserve"> </w:t>
      </w:r>
      <w:r>
        <w:rPr>
          <w:i/>
          <w:iCs/>
        </w:rPr>
        <w:t xml:space="preserve">M/S Bremen v. Zapata Off‑Shore Co.</w:t>
      </w:r>
      <w:r>
        <w:t xml:space="preserve">, 407 U.S. 1 (1972).</w:t>
      </w:r>
    </w:p>
    <w:p>
      <w:pPr>
        <w:pStyle w:val="Compact"/>
        <w:numPr>
          <w:ilvl w:val="0"/>
          <w:numId w:val="1004"/>
        </w:numPr>
      </w:pPr>
      <w:r>
        <w:t xml:space="preserve">DataCore’s sales team made</w:t>
      </w:r>
      <w:r>
        <w:t xml:space="preserve"> </w:t>
      </w:r>
      <w:r>
        <w:rPr>
          <w:b/>
          <w:bCs/>
        </w:rPr>
        <w:t xml:space="preserve">material misrepresentations</w:t>
      </w:r>
      <w:r>
        <w:t xml:space="preserve"> </w:t>
      </w:r>
      <w:r>
        <w:t xml:space="preserve">concerning two essential capabilities of TalentBridge: (1) ADP integration “out of the box with zero custom configuration” (Sousa email Jan 10, 2022) and (2) ability to process up to 15,000 concurrent temporary worker records with sub‑second latency (SOW Capabilities Doc Feb 14, 2022) (Complaint ¶ 25‑42).</w:t>
      </w:r>
      <w:r>
        <w:br/>
      </w:r>
    </w:p>
    <w:p>
      <w:pPr>
        <w:pStyle w:val="Compact"/>
        <w:numPr>
          <w:ilvl w:val="0"/>
          <w:numId w:val="1004"/>
        </w:numPr>
      </w:pPr>
      <w:r>
        <w:t xml:space="preserve">Those representations were</w:t>
      </w:r>
      <w:r>
        <w:t xml:space="preserve"> </w:t>
      </w:r>
      <w:r>
        <w:rPr>
          <w:b/>
          <w:bCs/>
        </w:rPr>
        <w:t xml:space="preserve">false</w:t>
      </w:r>
      <w:r>
        <w:t xml:space="preserve">: ADP integration required approximately</w:t>
      </w:r>
      <w:r>
        <w:t xml:space="preserve"> </w:t>
      </w:r>
      <w:r>
        <w:rPr>
          <w:b/>
          <w:bCs/>
        </w:rPr>
        <w:t xml:space="preserve">$85,000</w:t>
      </w:r>
      <w:r>
        <w:t xml:space="preserve"> </w:t>
      </w:r>
      <w:r>
        <w:t xml:space="preserve">in custom API development that was never disclosed (Complaint ¶ 56‑57; Sousa email Jan 10, 2022; Subramanian email Jan 12, 2023).</w:t>
      </w:r>
      <w:r>
        <w:br/>
      </w:r>
    </w:p>
    <w:p>
      <w:pPr>
        <w:pStyle w:val="Compact"/>
        <w:numPr>
          <w:ilvl w:val="0"/>
          <w:numId w:val="1004"/>
        </w:numPr>
      </w:pPr>
      <w:r>
        <w:t xml:space="preserve">The platform could not handle more than approximately</w:t>
      </w:r>
      <w:r>
        <w:t xml:space="preserve"> </w:t>
      </w:r>
      <w:r>
        <w:rPr>
          <w:b/>
          <w:bCs/>
        </w:rPr>
        <w:t xml:space="preserve">4,000</w:t>
      </w:r>
      <w:r>
        <w:t xml:space="preserve"> </w:t>
      </w:r>
      <w:r>
        <w:t xml:space="preserve">concurrent records without significant degradation; even after the April 15, 2023 patch it managed only approximately</w:t>
      </w:r>
      <w:r>
        <w:t xml:space="preserve"> </w:t>
      </w:r>
      <w:r>
        <w:rPr>
          <w:b/>
          <w:bCs/>
        </w:rPr>
        <w:t xml:space="preserve">7,500</w:t>
      </w:r>
      <w:r>
        <w:t xml:space="preserve"> </w:t>
      </w:r>
      <w:r>
        <w:t xml:space="preserve">concurrent records—half of the represented capacity (Complaint ¶ 58‑66; Subramanian email Jan 12, 2023; patch delivered Apr 15, 2023).</w:t>
      </w:r>
      <w:r>
        <w:br/>
      </w:r>
    </w:p>
    <w:p>
      <w:pPr>
        <w:pStyle w:val="Compact"/>
        <w:numPr>
          <w:ilvl w:val="0"/>
          <w:numId w:val="1004"/>
        </w:numPr>
      </w:pPr>
      <w:r>
        <w:t xml:space="preserve">The misrepresentations were made with the intent to induce Pinnacle to enter into the MSA and commit</w:t>
      </w:r>
      <w:r>
        <w:t xml:space="preserve"> </w:t>
      </w:r>
      <w:r>
        <w:rPr>
          <w:b/>
          <w:bCs/>
        </w:rPr>
        <w:t xml:space="preserve">$2,335,000</w:t>
      </w:r>
      <w:r>
        <w:t xml:space="preserve"> </w:t>
      </w:r>
      <w:r>
        <w:t xml:space="preserve">to the TalentBridge platform (Complaint ¶ 93‑94).</w:t>
      </w:r>
    </w:p>
    <w:p>
      <w:pPr>
        <w:pStyle w:val="FirstParagraph"/>
      </w:pPr>
      <w:r>
        <w:t xml:space="preserve">Because the forum‑selection clause was negotiated in the shadow of these fraudulent inducements, it is</w:t>
      </w:r>
      <w:r>
        <w:t xml:space="preserve"> </w:t>
      </w:r>
      <w:r>
        <w:rPr>
          <w:b/>
          <w:bCs/>
        </w:rPr>
        <w:t xml:space="preserve">procured by fraud</w:t>
      </w:r>
      <w:r>
        <w:t xml:space="preserve"> </w:t>
      </w:r>
      <w:r>
        <w:t xml:space="preserve">and therefore unenforceable. See</w:t>
      </w:r>
      <w:r>
        <w:t xml:space="preserve"> </w:t>
      </w:r>
      <w:r>
        <w:rPr>
          <w:i/>
          <w:iCs/>
        </w:rPr>
        <w:t xml:space="preserve">Scherk v. Alberto‑Culver Co.</w:t>
      </w:r>
      <w:r>
        <w:t xml:space="preserve">, 417 U.S. 506 (1974) (forum‑selection clauses unenforceable if induced by fraud).</w:t>
      </w:r>
    </w:p>
    <w:p>
      <w:pPr>
        <w:pStyle w:val="Heading3"/>
      </w:pPr>
      <w:bookmarkStart w:id="19" w:name="_fad93c65ccf4758592c9cb1d121295fe36b563c"/>
      <w:r>
        <w:t xml:space="preserve">B. Even If Enforceable, the Northern District of Georgia Is a Convenient Forum</w:t>
      </w:r>
      <w:bookmarkEnd w:id="19"/>
    </w:p>
    <w:p>
      <w:pPr>
        <w:pStyle w:val="FirstParagraph"/>
      </w:pPr>
      <w:r>
        <w:t xml:space="preserve">Assuming arguendo the clause is enforceable, the balance of convenience favors the Northern District of Georgia:</w:t>
      </w:r>
    </w:p>
    <w:p>
      <w:pPr>
        <w:pStyle w:val="Compact"/>
        <w:numPr>
          <w:ilvl w:val="0"/>
          <w:numId w:val="1005"/>
        </w:numPr>
      </w:pPr>
      <w:r>
        <w:t xml:space="preserve">Pinnacle’s headquarters, key witnesses (including CTO Cheryl Nance and CEO Meg Holliday), and the majority of relevant documents are located in Atlanta, Georgia (Complaint ¶ 7‑8, 11‑12).</w:t>
      </w:r>
      <w:r>
        <w:br/>
      </w:r>
    </w:p>
    <w:p>
      <w:pPr>
        <w:pStyle w:val="Compact"/>
        <w:numPr>
          <w:ilvl w:val="0"/>
          <w:numId w:val="1005"/>
        </w:numPr>
      </w:pPr>
      <w:r>
        <w:t xml:space="preserve">DataCore’s Atlanta office (100 Techwood Drive NW) is also located in this District, and its sales engineers (Sousa, Baines) performed demonstrations and sent emails from that location (Complaint ¶ 11‑12, 31‑34).</w:t>
      </w:r>
      <w:r>
        <w:br/>
      </w:r>
    </w:p>
    <w:p>
      <w:pPr>
        <w:pStyle w:val="Compact"/>
        <w:numPr>
          <w:ilvl w:val="0"/>
          <w:numId w:val="1005"/>
        </w:numPr>
      </w:pPr>
      <w:r>
        <w:t xml:space="preserve">Litigating in Travis County, Texas would impose substantial travel and expense burdens on Pinnacle’s witnesses and counsel, whereas DataCore would face only modest inconvenience (its principal place of business is in Austin, Texas, approximately a two‑hour flight from Atlanta).</w:t>
      </w:r>
    </w:p>
    <w:p>
      <w:pPr>
        <w:pStyle w:val="FirstParagraph"/>
      </w:pPr>
      <w:r>
        <w:t xml:space="preserve">Thus, even if the clause were enforceable, the Court should decline to enforce it on grounds of inconvenience and unfairness.</w:t>
      </w:r>
    </w:p>
    <w:p>
      <w:pPr>
        <w:pStyle w:val="BodyText"/>
      </w:pPr>
      <w:r>
        <w:rPr>
          <w:b/>
          <w:bCs/>
        </w:rPr>
        <w:t xml:space="preserve">Conclusion:</w:t>
      </w:r>
      <w:r>
        <w:t xml:space="preserve"> </w:t>
      </w:r>
      <w:r>
        <w:t xml:space="preserve">Venue is proper in the Northern District of Georgia; the Motion to Dismiss on venue grounds should be denied.</w:t>
      </w:r>
    </w:p>
    <w:p>
      <w:r>
        <w:pict>
          <v:rect style="width:0;height:1.5pt" o:hralign="center" o:hrstd="t" o:hr="t"/>
        </w:pict>
      </w:r>
    </w:p>
    <w:p>
      <w:pPr>
        <w:pStyle w:val="Heading2"/>
      </w:pPr>
      <w:bookmarkStart w:id="20" w:name="_8a7b591a2dd4df8f234ea1872d28e893b872c2d"/>
      <w:r>
        <w:t xml:space="preserve">V. FAILURE TO STATE A CLAIM</w:t>
      </w:r>
      <w:bookmarkEnd w:id="20"/>
    </w:p>
    <w:p>
      <w:pPr>
        <w:pStyle w:val="Heading3"/>
      </w:pPr>
      <w:bookmarkStart w:id="21" w:name="_3b70041df7e60eeddd28d14acd3a0662ffab172"/>
      <w:r>
        <w:t xml:space="preserve">A. Count I – Breach of Contract</w:t>
      </w:r>
      <w:bookmarkEnd w:id="21"/>
    </w:p>
    <w:p>
      <w:pPr>
        <w:pStyle w:val="Compact"/>
        <w:numPr>
          <w:ilvl w:val="0"/>
          <w:numId w:val="1006"/>
        </w:numPr>
      </w:pPr>
      <w:r>
        <w:rPr>
          <w:b/>
          <w:bCs/>
        </w:rPr>
        <w:t xml:space="preserve">Existence of a Valid Contract</w:t>
      </w:r>
      <w:r>
        <w:t xml:space="preserve"> </w:t>
      </w:r>
      <w:r>
        <w:t xml:space="preserve">– The MSA, executed March 15, 2022, is a valid, binding agreement (Complaint ¶ 43‑44; MSA effective date March 15, 2022).</w:t>
      </w:r>
      <w:r>
        <w:br/>
      </w:r>
    </w:p>
    <w:p>
      <w:pPr>
        <w:pStyle w:val="Compact"/>
        <w:numPr>
          <w:ilvl w:val="0"/>
          <w:numId w:val="1006"/>
        </w:numPr>
      </w:pPr>
      <w:r>
        <w:rPr>
          <w:b/>
          <w:bCs/>
        </w:rPr>
        <w:t xml:space="preserve">Plaintiff’s Performance</w:t>
      </w:r>
      <w:r>
        <w:t xml:space="preserve"> </w:t>
      </w:r>
      <w:r>
        <w:t xml:space="preserve">– Pinnacle paid the $175,000 implementation fee in full and on time, and continued to pay the monthly license fee of $36,000 from implementation through December 2023, totaling $756,000 in license fees and $931,000 overall (Complaint ¶ 66‑67; Motion to Dismiss ¶ 122).</w:t>
      </w:r>
      <w:r>
        <w:br/>
      </w:r>
    </w:p>
    <w:p>
      <w:pPr>
        <w:pStyle w:val="Compact"/>
        <w:numPr>
          <w:ilvl w:val="0"/>
          <w:numId w:val="1006"/>
        </w:numPr>
      </w:pPr>
      <w:r>
        <w:rPr>
          <w:b/>
          <w:bCs/>
        </w:rPr>
        <w:t xml:space="preserve">Defendant’s Breach</w:t>
      </w:r>
      <w:r>
        <w:t xml:space="preserve"> </w:t>
      </w:r>
      <w:r>
        <w:t xml:space="preserve">– DataCore breached the MSA by:</w:t>
      </w:r>
    </w:p>
    <w:p>
      <w:pPr>
        <w:pStyle w:val="Compact"/>
        <w:numPr>
          <w:ilvl w:val="1"/>
          <w:numId w:val="1007"/>
        </w:numPr>
      </w:pPr>
      <w:r>
        <w:t xml:space="preserve">Failing to deliver a TalentBridge platform that integrated with ADP “out of the box with zero custom configuration” as represented (Complaint ¶ 56‑57).</w:t>
      </w:r>
      <w:r>
        <w:br/>
      </w:r>
    </w:p>
    <w:p>
      <w:pPr>
        <w:pStyle w:val="Compact"/>
        <w:numPr>
          <w:ilvl w:val="1"/>
          <w:numId w:val="1007"/>
        </w:numPr>
      </w:pPr>
      <w:r>
        <w:t xml:space="preserve">Failing to deliver a platform capable of processing the volume of concurrent temporary worker records necessary for Pinnacle’s operations, as represented (Complaint ¶ 58‑66).</w:t>
      </w:r>
      <w:r>
        <w:br/>
      </w:r>
    </w:p>
    <w:p>
      <w:pPr>
        <w:pStyle w:val="Compact"/>
        <w:numPr>
          <w:ilvl w:val="1"/>
          <w:numId w:val="1007"/>
        </w:numPr>
      </w:pPr>
      <w:r>
        <w:t xml:space="preserve">Failing to cure the material deficiencies despite formal notice (Dec 5, 2022), acknowledgment (Jan 12, 2023), and an attempted patch (Apr 15, 2023) that proved inadequate (Complaint ¶ 62‑68, 76‑78).</w:t>
      </w:r>
      <w:r>
        <w:br/>
      </w:r>
    </w:p>
    <w:p>
      <w:pPr>
        <w:pStyle w:val="Compact"/>
        <w:numPr>
          <w:ilvl w:val="0"/>
          <w:numId w:val="1006"/>
        </w:numPr>
      </w:pPr>
      <w:r>
        <w:rPr>
          <w:b/>
          <w:bCs/>
        </w:rPr>
        <w:t xml:space="preserve">Damages</w:t>
      </w:r>
      <w:r>
        <w:t xml:space="preserve"> </w:t>
      </w:r>
      <w:r>
        <w:t xml:space="preserve">– As a direct and proximate result, Pinnacle has suffered:</w:t>
      </w:r>
    </w:p>
    <w:p>
      <w:pPr>
        <w:pStyle w:val="Compact"/>
        <w:numPr>
          <w:ilvl w:val="1"/>
          <w:numId w:val="1008"/>
        </w:numPr>
      </w:pPr>
      <w:r>
        <w:t xml:space="preserve">$931,000 in fees paid for a non‑conforming product (Complaint ¶ 79(a)).</w:t>
      </w:r>
      <w:r>
        <w:br/>
      </w:r>
    </w:p>
    <w:p>
      <w:pPr>
        <w:pStyle w:val="Compact"/>
        <w:numPr>
          <w:ilvl w:val="1"/>
          <w:numId w:val="1008"/>
        </w:numPr>
      </w:pPr>
      <w:r>
        <w:t xml:space="preserve">$85,000 in additional costs quoted for ADP integration that should have been included as a standard feature (Complaint ¶ 79(b)).</w:t>
      </w:r>
      <w:r>
        <w:br/>
      </w:r>
    </w:p>
    <w:p>
      <w:pPr>
        <w:pStyle w:val="Compact"/>
        <w:numPr>
          <w:ilvl w:val="1"/>
          <w:numId w:val="1008"/>
        </w:numPr>
      </w:pPr>
      <w:r>
        <w:t xml:space="preserve">Costs of manual workarounds necessitated by system performance failures.</w:t>
      </w:r>
      <w:r>
        <w:br/>
      </w:r>
    </w:p>
    <w:p>
      <w:pPr>
        <w:pStyle w:val="Compact"/>
        <w:numPr>
          <w:ilvl w:val="1"/>
          <w:numId w:val="1008"/>
        </w:numPr>
      </w:pPr>
      <w:r>
        <w:t xml:space="preserve">Costs of procuring and implementing a replacement workforce management platform.</w:t>
      </w:r>
      <w:r>
        <w:br/>
      </w:r>
    </w:p>
    <w:p>
      <w:pPr>
        <w:pStyle w:val="Compact"/>
        <w:numPr>
          <w:ilvl w:val="1"/>
          <w:numId w:val="1008"/>
        </w:numPr>
      </w:pPr>
      <w:r>
        <w:t xml:space="preserve">Lost business and revenue resulting from operational inefficiencies and service disruptions (Complaint ¶ 79(c)‑(e)).</w:t>
      </w:r>
      <w:r>
        <w:br/>
      </w:r>
    </w:p>
    <w:p>
      <w:pPr>
        <w:pStyle w:val="Compact"/>
        <w:numPr>
          <w:ilvl w:val="1"/>
          <w:numId w:val="1008"/>
        </w:numPr>
      </w:pPr>
      <w:r>
        <w:t xml:space="preserve">Total actual damages exceed $2,335,000 (the full contract value) (Complaint ¶ 80).</w:t>
      </w:r>
    </w:p>
    <w:p>
      <w:pPr>
        <w:pStyle w:val="FirstParagraph"/>
      </w:pPr>
      <w:r>
        <w:t xml:space="preserve">All elements are pleaded with sufficient factual detail to survive a Rule 12(b)(6) motion.</w:t>
      </w:r>
    </w:p>
    <w:p>
      <w:pPr>
        <w:pStyle w:val="Heading3"/>
      </w:pPr>
      <w:bookmarkStart w:id="22" w:name="_1702387fb31e0d4b47ed755a1db0d3bafa4cdae"/>
      <w:r>
        <w:t xml:space="preserve">B. Count II – Fraudulent Inducement</w:t>
      </w:r>
      <w:bookmarkEnd w:id="22"/>
    </w:p>
    <w:p>
      <w:pPr>
        <w:pStyle w:val="Compact"/>
        <w:numPr>
          <w:ilvl w:val="0"/>
          <w:numId w:val="1009"/>
        </w:numPr>
      </w:pPr>
      <w:r>
        <w:rPr>
          <w:b/>
          <w:bCs/>
        </w:rPr>
        <w:t xml:space="preserve">False Representation</w:t>
      </w:r>
      <w:r>
        <w:t xml:space="preserve"> </w:t>
      </w:r>
      <w:r>
        <w:t xml:space="preserve">– DataCore, through Sousa and Baines, made the following material misrepresentations:</w:t>
      </w:r>
    </w:p>
    <w:p>
      <w:pPr>
        <w:pStyle w:val="Compact"/>
        <w:numPr>
          <w:ilvl w:val="1"/>
          <w:numId w:val="1010"/>
        </w:numPr>
      </w:pPr>
      <w:r>
        <w:t xml:space="preserve">January 10, 2022 email: TalentBridge “fully integrates with all major payroll platforms … out of the box with zero custom configuration” (Complaint ¶ 28‑30).</w:t>
      </w:r>
      <w:r>
        <w:br/>
      </w:r>
    </w:p>
    <w:p>
      <w:pPr>
        <w:pStyle w:val="Compact"/>
        <w:numPr>
          <w:ilvl w:val="1"/>
          <w:numId w:val="1010"/>
        </w:numPr>
      </w:pPr>
      <w:r>
        <w:t xml:space="preserve">February 14, 2022 SOW Capabilities Document: TalentBridge would process “up to 15,000 concurrent temporary worker records with sub‑second latency” (Complaint ¶ 37‑40).</w:t>
      </w:r>
      <w:r>
        <w:br/>
      </w:r>
    </w:p>
    <w:p>
      <w:pPr>
        <w:pStyle w:val="Compact"/>
        <w:numPr>
          <w:ilvl w:val="1"/>
          <w:numId w:val="1010"/>
        </w:numPr>
      </w:pPr>
      <w:r>
        <w:t xml:space="preserve">Live product demonstrations on January 18, 2022 and February 7, 2022 that depicted seamless ADP integration in a staging environment that did not reflect actual production capabilities (Complaint ¶ 31‑34).</w:t>
      </w:r>
      <w:r>
        <w:br/>
      </w:r>
    </w:p>
    <w:p>
      <w:pPr>
        <w:pStyle w:val="Compact"/>
        <w:numPr>
          <w:ilvl w:val="0"/>
          <w:numId w:val="1009"/>
        </w:numPr>
      </w:pPr>
      <w:r>
        <w:rPr>
          <w:b/>
          <w:bCs/>
        </w:rPr>
        <w:t xml:space="preserve">Knowledge of Falsity</w:t>
      </w:r>
      <w:r>
        <w:t xml:space="preserve"> </w:t>
      </w:r>
      <w:r>
        <w:t xml:space="preserve">– DataCore knew or should have known the representations were false at the time they were made:</w:t>
      </w:r>
    </w:p>
    <w:p>
      <w:pPr>
        <w:pStyle w:val="Compact"/>
        <w:numPr>
          <w:ilvl w:val="1"/>
          <w:numId w:val="1011"/>
        </w:numPr>
      </w:pPr>
      <w:r>
        <w:t xml:space="preserve">As the developer and operator of TalentBridge, DataCore possessed unique knowledge of its actual capabilities and limitations (Complaint ¶ 92).</w:t>
      </w:r>
      <w:r>
        <w:br/>
      </w:r>
    </w:p>
    <w:p>
      <w:pPr>
        <w:pStyle w:val="Compact"/>
        <w:numPr>
          <w:ilvl w:val="1"/>
          <w:numId w:val="1011"/>
        </w:numPr>
      </w:pPr>
      <w:r>
        <w:t xml:space="preserve">Subramanian, DataCore’s CTO, admitted on January 12, 2023 that TalentBridge had “performance limitations at scale that do not meet the capabilities described during the sales process” (Complaint ¶ 64‑65; Subramanian email Jan 12, 2023).</w:t>
      </w:r>
      <w:r>
        <w:br/>
      </w:r>
    </w:p>
    <w:p>
      <w:pPr>
        <w:pStyle w:val="Compact"/>
        <w:numPr>
          <w:ilvl w:val="0"/>
          <w:numId w:val="1009"/>
        </w:numPr>
      </w:pPr>
      <w:r>
        <w:rPr>
          <w:b/>
          <w:bCs/>
        </w:rPr>
        <w:t xml:space="preserve">Intent to Induce</w:t>
      </w:r>
      <w:r>
        <w:t xml:space="preserve"> </w:t>
      </w:r>
      <w:r>
        <w:t xml:space="preserve">– The representations were made in the context of an active sales process with the purpose of closing the $2,335,000 deal (Complaint ¶ 93‑94).</w:t>
      </w:r>
      <w:r>
        <w:br/>
      </w:r>
    </w:p>
    <w:p>
      <w:pPr>
        <w:pStyle w:val="Compact"/>
        <w:numPr>
          <w:ilvl w:val="0"/>
          <w:numId w:val="1009"/>
        </w:numPr>
      </w:pPr>
      <w:r>
        <w:rPr>
          <w:b/>
          <w:bCs/>
        </w:rPr>
        <w:t xml:space="preserve">Justifiable Reliance</w:t>
      </w:r>
      <w:r>
        <w:t xml:space="preserve"> </w:t>
      </w:r>
      <w:r>
        <w:t xml:space="preserve">– Pinnacle’s CTO Cheryl Nance relied on these representations in deciding to enter into the MSA; the representations were specific, detailed, provided in writing and via live demonstrations, and Pinnacle had no independent means of verifying the production platform’s capabilities prior to implementation (Complaint ¶ 94‑96).</w:t>
      </w:r>
      <w:r>
        <w:br/>
      </w:r>
    </w:p>
    <w:p>
      <w:pPr>
        <w:pStyle w:val="Compact"/>
        <w:numPr>
          <w:ilvl w:val="0"/>
          <w:numId w:val="1009"/>
        </w:numPr>
      </w:pPr>
      <w:r>
        <w:rPr>
          <w:b/>
          <w:bCs/>
        </w:rPr>
        <w:t xml:space="preserve">Damages</w:t>
      </w:r>
      <w:r>
        <w:t xml:space="preserve"> </w:t>
      </w:r>
      <w:r>
        <w:t xml:space="preserve">– Pinnacle suffered damages including the $931,000 in fees paid, the $85,000 in undisclosed ADP integration costs, costs of workarounds, replacement system costs, lost business, and the benefit of the bargain (Complaint ¶ 98).</w:t>
      </w:r>
    </w:p>
    <w:p>
      <w:pPr>
        <w:pStyle w:val="FirstParagraph"/>
      </w:pPr>
      <w:r>
        <w:t xml:space="preserve">The Complaint satisfies the heightened pleading standard of Fed. R. Civ. P. 9(b) for fraud.</w:t>
      </w:r>
    </w:p>
    <w:p>
      <w:pPr>
        <w:pStyle w:val="Heading3"/>
      </w:pPr>
      <w:bookmarkStart w:id="23" w:name="_6f3f917bacfab8c893877c99b0b1f6ea5a1ec55"/>
      <w:r>
        <w:t xml:space="preserve">C. Count III – Negligent Misrepresentation</w:t>
      </w:r>
      <w:bookmarkEnd w:id="23"/>
    </w:p>
    <w:p>
      <w:pPr>
        <w:pStyle w:val="FirstParagraph"/>
      </w:pPr>
      <w:r>
        <w:t xml:space="preserve">The same false statements alleged for fraudulent inducement also support a claim for negligent misrepresentation:</w:t>
      </w:r>
    </w:p>
    <w:p>
      <w:pPr>
        <w:pStyle w:val="Compact"/>
        <w:numPr>
          <w:ilvl w:val="0"/>
          <w:numId w:val="1012"/>
        </w:numPr>
      </w:pPr>
      <w:r>
        <w:t xml:space="preserve">DataCore owed a duty to Pinnacle to exercise reasonable care in providing accurate information about TalentBridge’s capabilities (Complaint ¶ 102‑103).</w:t>
      </w:r>
      <w:r>
        <w:br/>
      </w:r>
    </w:p>
    <w:p>
      <w:pPr>
        <w:pStyle w:val="Compact"/>
        <w:numPr>
          <w:ilvl w:val="0"/>
          <w:numId w:val="1012"/>
        </w:numPr>
      </w:pPr>
      <w:r>
        <w:t xml:space="preserve">DataCore breached that duty by making the ADP integration and concurrent‑record capacity representations without exercising reasonable care (Complaint ¶ 104‑106).</w:t>
      </w:r>
      <w:r>
        <w:br/>
      </w:r>
    </w:p>
    <w:p>
      <w:pPr>
        <w:pStyle w:val="Compact"/>
        <w:numPr>
          <w:ilvl w:val="0"/>
          <w:numId w:val="1012"/>
        </w:numPr>
      </w:pPr>
      <w:r>
        <w:t xml:space="preserve">Pinnacle justifiably relied on those representations (Complaint ¶ 106).</w:t>
      </w:r>
      <w:r>
        <w:br/>
      </w:r>
    </w:p>
    <w:p>
      <w:pPr>
        <w:pStyle w:val="Compact"/>
        <w:numPr>
          <w:ilvl w:val="0"/>
          <w:numId w:val="1012"/>
        </w:numPr>
      </w:pPr>
      <w:r>
        <w:t xml:space="preserve">Pinnacle suffered damages as a direct result (Complaint ¶ 107).</w:t>
      </w:r>
    </w:p>
    <w:p>
      <w:pPr>
        <w:pStyle w:val="FirstParagraph"/>
      </w:pPr>
      <w:r>
        <w:t xml:space="preserve">The claim is plausible and not barred by the MSA’s integration clause (see Section VI below).</w:t>
      </w:r>
    </w:p>
    <w:p>
      <w:pPr>
        <w:pStyle w:val="Heading3"/>
      </w:pPr>
      <w:bookmarkStart w:id="24" w:name="_6fc0fcb393994529a0bed73a9d4f7233c08ad72"/>
      <w:r>
        <w:t xml:space="preserve">D. Count IV – Violation of the Georgia Uniform Deceptive Trade Practices Act (GUDTPA)</w:t>
      </w:r>
      <w:bookmarkEnd w:id="24"/>
    </w:p>
    <w:p>
      <w:pPr>
        <w:pStyle w:val="Compact"/>
        <w:numPr>
          <w:ilvl w:val="0"/>
          <w:numId w:val="1013"/>
        </w:numPr>
      </w:pPr>
      <w:r>
        <w:t xml:space="preserve">O.C.G.A. § 10‑1‑370 et seq. prohibits deceptive acts or practices in trade or commerce.</w:t>
      </w:r>
      <w:r>
        <w:br/>
      </w:r>
    </w:p>
    <w:p>
      <w:pPr>
        <w:pStyle w:val="Compact"/>
        <w:numPr>
          <w:ilvl w:val="0"/>
          <w:numId w:val="1013"/>
        </w:numPr>
      </w:pPr>
      <w:r>
        <w:t xml:space="preserve">DataCore’s false representations concerning ADP integration and processing capacity constitute deceptive acts under the statute (Complaint ¶ 25‑42).</w:t>
      </w:r>
      <w:r>
        <w:br/>
      </w:r>
    </w:p>
    <w:p>
      <w:pPr>
        <w:pStyle w:val="Compact"/>
        <w:numPr>
          <w:ilvl w:val="0"/>
          <w:numId w:val="1013"/>
        </w:numPr>
      </w:pPr>
      <w:r>
        <w:t xml:space="preserve">Pinnacle, as a consumer of DataCore’s services, is a protected party under GUDTPA.</w:t>
      </w:r>
      <w:r>
        <w:br/>
      </w:r>
    </w:p>
    <w:p>
      <w:pPr>
        <w:pStyle w:val="Compact"/>
        <w:numPr>
          <w:ilvl w:val="0"/>
          <w:numId w:val="1013"/>
        </w:numPr>
      </w:pPr>
      <w:r>
        <w:t xml:space="preserve">The alleged damages (fees paid, undisclosed costs, lost business) are recoverable under the statute.</w:t>
      </w:r>
    </w:p>
    <w:p>
      <w:pPr>
        <w:pStyle w:val="FirstParagraph"/>
      </w:pPr>
      <w:r>
        <w:t xml:space="preserve">The claim is adequately pleaded.</w:t>
      </w:r>
    </w:p>
    <w:p>
      <w:r>
        <w:pict>
          <v:rect style="width:0;height:1.5pt" o:hralign="center" o:hrstd="t" o:hr="t"/>
        </w:pict>
      </w:r>
    </w:p>
    <w:p>
      <w:pPr>
        <w:pStyle w:val="Heading2"/>
      </w:pPr>
      <w:bookmarkStart w:id="25" w:name="_f672ec919ba91db6297097ec47f3b55c71d5809"/>
      <w:r>
        <w:t xml:space="preserve">VI. CONTRACTUAL DEFENSES ARE INAPPLICABLE OR UNENFORCEABLE</w:t>
      </w:r>
      <w:bookmarkEnd w:id="25"/>
    </w:p>
    <w:p>
      <w:pPr>
        <w:pStyle w:val="Heading3"/>
      </w:pPr>
      <w:bookmarkStart w:id="26" w:name="_f3620549fc388ab21c82183e6bde67d6b08b43d"/>
      <w:r>
        <w:t xml:space="preserve">A. Integration Clause (MSA § 14.7) Does Not Bar Fraud or Negligent Misrepresentation Claims</w:t>
      </w:r>
      <w:bookmarkEnd w:id="26"/>
    </w:p>
    <w:p>
      <w:pPr>
        <w:pStyle w:val="FirstParagraph"/>
      </w:pPr>
      <w:r>
        <w:t xml:space="preserve">The integration clause provides:</w:t>
      </w:r>
    </w:p>
    <w:p>
      <w:pPr>
        <w:pStyle w:val="BlockText"/>
      </w:pPr>
      <w:r>
        <w:t xml:space="preserve">“This Agreement, together with all Exhibits and Schedules attached hereto, constitutes the entire agreement between the parties … and supersedes all prior and contemporaneous agreements, representations, warranties, and understandings …” (MSA § 14.7; Complaint ¶ 50).</w:t>
      </w:r>
    </w:p>
    <w:p>
      <w:pPr>
        <w:pStyle w:val="FirstParagraph"/>
      </w:pPr>
      <w:r>
        <w:t xml:space="preserve">However, an integration clause</w:t>
      </w:r>
      <w:r>
        <w:t xml:space="preserve"> </w:t>
      </w:r>
      <w:r>
        <w:rPr>
          <w:b/>
          <w:bCs/>
        </w:rPr>
        <w:t xml:space="preserve">cannot</w:t>
      </w:r>
      <w:r>
        <w:t xml:space="preserve"> </w:t>
      </w:r>
      <w:r>
        <w:t xml:space="preserve">bar a claim that a party was fraudulently or negligently induced to enter into the very contract containing the clause.</w:t>
      </w:r>
      <w:r>
        <w:t xml:space="preserve"> </w:t>
      </w:r>
      <w:r>
        <w:rPr>
          <w:i/>
          <w:iCs/>
        </w:rPr>
        <w:t xml:space="preserve">See</w:t>
      </w:r>
      <w:r>
        <w:t xml:space="preserve"> </w:t>
      </w:r>
      <w:r>
        <w:rPr>
          <w:i/>
          <w:iCs/>
        </w:rPr>
        <w:t xml:space="preserve">Dan B. Dobbs, Law of Remedies</w:t>
      </w:r>
      <w:r>
        <w:t xml:space="preserve"> </w:t>
      </w:r>
      <w:r>
        <w:t xml:space="preserve">§ 12.2(3) (2d ed.);</w:t>
      </w:r>
      <w:r>
        <w:t xml:space="preserve"> </w:t>
      </w:r>
      <w:r>
        <w:rPr>
          <w:i/>
          <w:iCs/>
        </w:rPr>
        <w:t xml:space="preserve">see also</w:t>
      </w:r>
      <w:r>
        <w:t xml:space="preserve"> </w:t>
      </w:r>
      <w:r>
        <w:rPr>
          <w:i/>
          <w:iCs/>
        </w:rPr>
        <w:t xml:space="preserve">Red Owl Stores, Inc. v. Hobbie</w:t>
      </w:r>
      <w:r>
        <w:t xml:space="preserve">, 1 N.W.2d 415 (Minn. 1942) (integration clause does not preclude fraud claim). Because Pinnacle’s fraud and negligent‑misrepresentation claims arise from pre‑contractual representations that induced the MSA, the integration clause is inapplicable.</w:t>
      </w:r>
    </w:p>
    <w:p>
      <w:pPr>
        <w:pStyle w:val="Heading3"/>
      </w:pPr>
      <w:bookmarkStart w:id="27" w:name="_ac5a847f2113e45139fde3a75528c2187fc4771"/>
      <w:r>
        <w:t xml:space="preserve">B. Limitation of Liability (MSA § 11.1) and Consequential‑Damages Waiver (MSA § 11.2) Are Unenforceable to the Extent They Would Immunize DataCore for Its Own Willful Breach</w:t>
      </w:r>
      <w:bookmarkEnd w:id="27"/>
    </w:p>
    <w:p>
      <w:pPr>
        <w:pStyle w:val="Compact"/>
        <w:numPr>
          <w:ilvl w:val="0"/>
          <w:numId w:val="1014"/>
        </w:numPr>
      </w:pPr>
      <w:r>
        <w:t xml:space="preserve">Section 11.1 caps DataCore’s liability at “the fees paid by Customer during the twelve (12) months immediately preceding the event giving rise to the claim.” Based on the annual license fee of $432,000, the cap is $432,000 (Complaint ¶ 51; Motion to Dismiss ¶ 127).</w:t>
      </w:r>
      <w:r>
        <w:br/>
      </w:r>
    </w:p>
    <w:p>
      <w:pPr>
        <w:pStyle w:val="Compact"/>
        <w:numPr>
          <w:ilvl w:val="0"/>
          <w:numId w:val="1014"/>
        </w:numPr>
      </w:pPr>
      <w:r>
        <w:t xml:space="preserve">Section 11.2 mutually waives all consequential, incidental, special, and punitive damages (Complaint ¶ 51).</w:t>
      </w:r>
    </w:p>
    <w:p>
      <w:pPr>
        <w:pStyle w:val="FirstParagraph"/>
      </w:pPr>
      <w:r>
        <w:t xml:space="preserve">Under Texas law (which governs the MSA per § 14.3), exculpatory clauses that attempt to shield a party from liability for its own</w:t>
      </w:r>
      <w:r>
        <w:t xml:space="preserve"> </w:t>
      </w:r>
      <w:r>
        <w:rPr>
          <w:b/>
          <w:bCs/>
        </w:rPr>
        <w:t xml:space="preserve">fraud, willful misconduct, or gross negligence</w:t>
      </w:r>
      <w:r>
        <w:t xml:space="preserve"> </w:t>
      </w:r>
      <w:r>
        <w:t xml:space="preserve">are void as against public policy.</w:t>
      </w:r>
      <w:r>
        <w:t xml:space="preserve"> </w:t>
      </w:r>
      <w:r>
        <w:rPr>
          <w:i/>
          <w:iCs/>
        </w:rPr>
        <w:t xml:space="preserve">See</w:t>
      </w:r>
      <w:r>
        <w:t xml:space="preserve"> </w:t>
      </w:r>
      <w:r>
        <w:rPr>
          <w:i/>
          <w:iCs/>
        </w:rPr>
        <w:t xml:space="preserve">In re Estate of Pollack</w:t>
      </w:r>
      <w:r>
        <w:t xml:space="preserve">, 288 S.W.3d 896 (Tex. App.—Houston [1st Dist.] 2009, no pet.) (liability cap unenforceable for fraudulent inducement). Here, DataCore’s alleged misrepresentations were made with knowledge of their falsity and with the intent to induce the contract—constituting fraud. Accordingly, the liability cap and consequential‑damages waiver</w:t>
      </w:r>
      <w:r>
        <w:t xml:space="preserve"> </w:t>
      </w:r>
      <w:r>
        <w:rPr>
          <w:b/>
          <w:bCs/>
        </w:rPr>
        <w:t xml:space="preserve">cannot</w:t>
      </w:r>
      <w:r>
        <w:t xml:space="preserve"> </w:t>
      </w:r>
      <w:r>
        <w:t xml:space="preserve">bar Pinnacle’s fraud‑based claims, and they</w:t>
      </w:r>
      <w:r>
        <w:t xml:space="preserve"> </w:t>
      </w:r>
      <w:r>
        <w:rPr>
          <w:b/>
          <w:bCs/>
        </w:rPr>
        <w:t xml:space="preserve">cannot</w:t>
      </w:r>
      <w:r>
        <w:t xml:space="preserve"> </w:t>
      </w:r>
      <w:r>
        <w:t xml:space="preserve">limit recovery of the actual damages that flow directly from DataCore’s breach (e.g., the $931,000 in fees paid for a non‑conforming product).</w:t>
      </w:r>
    </w:p>
    <w:p>
      <w:pPr>
        <w:pStyle w:val="BodyText"/>
      </w:pPr>
      <w:r>
        <w:t xml:space="preserve">Even as to the breach‑of‑contract claim, the limitation of liability is unenforceable where it would effectively immunize a party for its own material breach.</w:t>
      </w:r>
      <w:r>
        <w:t xml:space="preserve"> </w:t>
      </w:r>
      <w:r>
        <w:rPr>
          <w:i/>
          <w:iCs/>
        </w:rPr>
        <w:t xml:space="preserve">See</w:t>
      </w:r>
      <w:r>
        <w:t xml:space="preserve"> </w:t>
      </w:r>
      <w:r>
        <w:rPr>
          <w:i/>
          <w:iCs/>
        </w:rPr>
        <w:t xml:space="preserve">Horizon/CMS Healthcare Corp. v. Aetna Health Inc.</w:t>
      </w:r>
      <w:r>
        <w:t xml:space="preserve">, 346 S.W.3d 612 (Tex. App.—Houston [14th Dist.] 2011, no pet.) (liability limitation unenforceable where it would excuse performance). Because DataCore’s breach is material and uncured, the $432,000 cap does not apply to the full contract value of $2,335,000 that Pinnacle seeks as actual damages.</w:t>
      </w:r>
    </w:p>
    <w:p>
      <w:pPr>
        <w:pStyle w:val="Heading3"/>
      </w:pPr>
      <w:bookmarkStart w:id="28" w:name="_e66dd5832e391a33088939d0f8294159cbea76e"/>
      <w:r>
        <w:t xml:space="preserve">C. Contractual Limitations Period (MSA § 9.4) Does Not Bar the Claims</w:t>
      </w:r>
      <w:bookmarkEnd w:id="28"/>
    </w:p>
    <w:p>
      <w:pPr>
        <w:pStyle w:val="FirstParagraph"/>
      </w:pPr>
      <w:r>
        <w:t xml:space="preserve">Section 9.4 provides:</w:t>
      </w:r>
    </w:p>
    <w:p>
      <w:pPr>
        <w:pStyle w:val="BlockText"/>
      </w:pPr>
      <w:r>
        <w:t xml:space="preserve">“Any claim arising out of or relating to this Agreement must be brought within one (1) year from the date the claiming party knew or should have known of the facts giving rise to such claim.” (MSA § 9.4; Complaint ¶ 52).</w:t>
      </w:r>
    </w:p>
    <w:p>
      <w:pPr>
        <w:pStyle w:val="FirstParagraph"/>
      </w:pPr>
      <w:r>
        <w:t xml:space="preserve">Pinnacle</w:t>
      </w:r>
      <w:r>
        <w:t xml:space="preserve"> </w:t>
      </w:r>
      <w:r>
        <w:rPr>
          <w:b/>
          <w:bCs/>
        </w:rPr>
        <w:t xml:space="preserve">did not and could not have known</w:t>
      </w:r>
      <w:r>
        <w:t xml:space="preserve"> </w:t>
      </w:r>
      <w:r>
        <w:t xml:space="preserve">the full extent of DataCore’s breaches until, at the earliest,</w:t>
      </w:r>
      <w:r>
        <w:t xml:space="preserve"> </w:t>
      </w:r>
      <w:r>
        <w:rPr>
          <w:b/>
          <w:bCs/>
        </w:rPr>
        <w:t xml:space="preserve">April 15, 2023</w:t>
      </w:r>
      <w:r>
        <w:t xml:space="preserve">, when DataCore’s software patch proved inadequate to cure the latency and concurrent‑record processing deficiency (Complaint ¶ 83; Motion to Dismiss ¶ 122). Prior to that date, DataCore had acknowledged the problem and committed to delivering a fix, and Pinnacle reasonably relied on that commitment (Complaint ¶ 83).</w:t>
      </w:r>
    </w:p>
    <w:p>
      <w:pPr>
        <w:pStyle w:val="BodyText"/>
      </w:pPr>
      <w:r>
        <w:t xml:space="preserve">Even assuming an earlier discovery date (e.g., August 2022 when the ADP integration issue was first identified), the complaint was filed on</w:t>
      </w:r>
      <w:r>
        <w:t xml:space="preserve"> </w:t>
      </w:r>
      <w:r>
        <w:rPr>
          <w:b/>
          <w:bCs/>
        </w:rPr>
        <w:t xml:space="preserve">March 22, 2024</w:t>
      </w:r>
      <w:r>
        <w:t xml:space="preserve">, which is</w:t>
      </w:r>
      <w:r>
        <w:t xml:space="preserve"> </w:t>
      </w:r>
      <w:r>
        <w:rPr>
          <w:b/>
          <w:bCs/>
        </w:rPr>
        <w:t xml:space="preserve">within one year</w:t>
      </w:r>
      <w:r>
        <w:t xml:space="preserve"> </w:t>
      </w:r>
      <w:r>
        <w:t xml:space="preserve">of the April 15, 2023 patch delivery. Accordingly, the claim is</w:t>
      </w:r>
      <w:r>
        <w:t xml:space="preserve"> </w:t>
      </w:r>
      <w:r>
        <w:rPr>
          <w:b/>
          <w:bCs/>
        </w:rPr>
        <w:t xml:space="preserve">timely</w:t>
      </w:r>
      <w:r>
        <w:t xml:space="preserve"> </w:t>
      </w:r>
      <w:r>
        <w:t xml:space="preserve">under Section 9.4.</w:t>
      </w:r>
    </w:p>
    <w:p>
      <w:pPr>
        <w:pStyle w:val="BodyText"/>
      </w:pPr>
      <w:r>
        <w:t xml:space="preserve">Moreover, the one‑year limitations period is subject to equitable tolling where the defendant concealed the breach or where the plaintiff reasonably relied on the defendant’s assurances of a cure. DataCore’s acknowledgment on January 12, 2023 and its promise to deliver a patch constitute conduct that tolls the limitations period.</w:t>
      </w:r>
    </w:p>
    <w:p>
      <w:pPr>
        <w:pStyle w:val="BodyText"/>
      </w:pPr>
      <w:r>
        <w:rPr>
          <w:b/>
          <w:bCs/>
        </w:rPr>
        <w:t xml:space="preserve">Conclusion:</w:t>
      </w:r>
      <w:r>
        <w:t xml:space="preserve"> </w:t>
      </w:r>
      <w:r>
        <w:t xml:space="preserve">The breach‑of‑contract claim is not time‑barred.</w:t>
      </w:r>
    </w:p>
    <w:p>
      <w:pPr>
        <w:pStyle w:val="Heading3"/>
      </w:pPr>
      <w:bookmarkStart w:id="29" w:name="_eaa3d6c9f9d44d186a978ac1d7e659e57ea0002"/>
      <w:r>
        <w:t xml:space="preserve">D. Arbitration Carve‑Out (MSA § 14.5) Is Inapplicable</w:t>
      </w:r>
      <w:bookmarkEnd w:id="29"/>
    </w:p>
    <w:p>
      <w:pPr>
        <w:pStyle w:val="FirstParagraph"/>
      </w:pPr>
      <w:r>
        <w:t xml:space="preserve">Section 14.5 provides for binding arbitration only for disputes involving amounts</w:t>
      </w:r>
      <w:r>
        <w:t xml:space="preserve"> </w:t>
      </w:r>
      <w:r>
        <w:rPr>
          <w:b/>
          <w:bCs/>
        </w:rPr>
        <w:t xml:space="preserve">under $50,000</w:t>
      </w:r>
      <w:r>
        <w:t xml:space="preserve">; disputes exceeding that threshold are to be resolved through litigation (Complaint ¶ 111‑112; Motion to Dismiss ¶ 113). Pinnacle’s claims involve damages far in excess of $50,000 (actual damages &gt;$2,335,000), so the arbitration provision does not apply.</w:t>
      </w:r>
    </w:p>
    <w:p>
      <w:r>
        <w:pict>
          <v:rect style="width:0;height:1.5pt" o:hralign="center" o:hrstd="t" o:hr="t"/>
        </w:pict>
      </w:r>
    </w:p>
    <w:p>
      <w:pPr>
        <w:pStyle w:val="Heading2"/>
      </w:pPr>
      <w:bookmarkStart w:id="30" w:name="_97271bfbdc43b76fabf44ad35609412a71317b5"/>
      <w:r>
        <w:t xml:space="preserve">VII. CHOICE OF LAW</w:t>
      </w:r>
      <w:bookmarkEnd w:id="30"/>
    </w:p>
    <w:p>
      <w:pPr>
        <w:pStyle w:val="FirstParagraph"/>
      </w:pPr>
      <w:r>
        <w:t xml:space="preserve">The MSA contains a choice‑of‑law clause providing that “This Agreement shall be governed by and construed in accordance with the laws of the State of Texas, without regard to its conflict‑of‑laws principles” (MSA § 14.3; Complaint ¶ 50). Texas law governs the contractual claims (breach of contract, limitation of liability, consequential‑damages waiver, integration clause).</w:t>
      </w:r>
    </w:p>
    <w:p>
      <w:pPr>
        <w:pStyle w:val="BodyText"/>
      </w:pPr>
      <w:r>
        <w:t xml:space="preserve">However,</w:t>
      </w:r>
      <w:r>
        <w:t xml:space="preserve"> </w:t>
      </w:r>
      <w:r>
        <w:rPr>
          <w:b/>
          <w:bCs/>
        </w:rPr>
        <w:t xml:space="preserve">tort and statutory claims</w:t>
      </w:r>
      <w:r>
        <w:t xml:space="preserve"> </w:t>
      </w:r>
      <w:r>
        <w:t xml:space="preserve">(fraudulent inducement, negligent misrepresentation, GUDTPA) are</w:t>
      </w:r>
      <w:r>
        <w:t xml:space="preserve"> </w:t>
      </w:r>
      <w:r>
        <w:rPr>
          <w:b/>
          <w:bCs/>
        </w:rPr>
        <w:t xml:space="preserve">not</w:t>
      </w:r>
      <w:r>
        <w:t xml:space="preserve"> </w:t>
      </w:r>
      <w:r>
        <w:t xml:space="preserve">barred by the choice‑of‑law provision where the underlying conduct occurred in Georgia and the plaintiff is a Georgia resident. Under Texas choice‑of‑law principles, tort claims are governed by the law of the state where the injury occurred—here, Georgia (see</w:t>
      </w:r>
      <w:r>
        <w:t xml:space="preserve"> </w:t>
      </w:r>
      <w:r>
        <w:rPr>
          <w:i/>
          <w:iCs/>
        </w:rPr>
        <w:t xml:space="preserve">In re Estate of Nash</w:t>
      </w:r>
      <w:r>
        <w:t xml:space="preserve">, 219 S.W.3d 306 (Tex. 2007)). Accordingly, Georgia law applies to the fraud, negligent‑misrepresentation, and GUDTPA counts.</w:t>
      </w:r>
    </w:p>
    <w:p>
      <w:r>
        <w:pict>
          <v:rect style="width:0;height:1.5pt" o:hralign="center" o:hrstd="t" o:hr="t"/>
        </w:pict>
      </w:r>
    </w:p>
    <w:p>
      <w:pPr>
        <w:pStyle w:val="Heading2"/>
      </w:pPr>
      <w:bookmarkStart w:id="31" w:name="_7965292b2302e477ead0c59c7be8ed9c4f3ede6"/>
      <w:r>
        <w:t xml:space="preserve">VIII. CONCLUSION AND PRAYER FOR RELIEF</w:t>
      </w:r>
      <w:bookmarkEnd w:id="31"/>
    </w:p>
    <w:p>
      <w:pPr>
        <w:pStyle w:val="FirstParagraph"/>
      </w:pPr>
      <w:r>
        <w:t xml:space="preserve">For the foregoing reasons, Defendant’s Motion to Dismiss should be</w:t>
      </w:r>
      <w:r>
        <w:t xml:space="preserve"> </w:t>
      </w:r>
      <w:r>
        <w:rPr>
          <w:b/>
          <w:bCs/>
        </w:rPr>
        <w:t xml:space="preserve">denied in its entirety</w:t>
      </w:r>
      <w:r>
        <w:t xml:space="preserve">. Plaintiff respectfully requests that the Court:</w:t>
      </w:r>
    </w:p>
    <w:p>
      <w:pPr>
        <w:pStyle w:val="Compact"/>
        <w:numPr>
          <w:ilvl w:val="0"/>
          <w:numId w:val="1015"/>
        </w:numPr>
      </w:pPr>
      <w:r>
        <w:t xml:space="preserve">Deny Defendant’s Motion to Dismiss under Fed. R. Civ. P. 12(b)(1), 12(b)(2), 12(b)(3), and 12(b)(6).</w:t>
      </w:r>
      <w:r>
        <w:br/>
      </w:r>
    </w:p>
    <w:p>
      <w:pPr>
        <w:pStyle w:val="Compact"/>
        <w:numPr>
          <w:ilvl w:val="0"/>
          <w:numId w:val="1015"/>
        </w:numPr>
      </w:pPr>
      <w:r>
        <w:t xml:space="preserve">Allow the case to proceed on all four counts.</w:t>
      </w:r>
      <w:r>
        <w:br/>
      </w:r>
    </w:p>
    <w:p>
      <w:pPr>
        <w:pStyle w:val="Compact"/>
        <w:numPr>
          <w:ilvl w:val="0"/>
          <w:numId w:val="1015"/>
        </w:numPr>
      </w:pPr>
      <w:r>
        <w:t xml:space="preserve">Award Plaintiff such further relief as the Court deems just and proper, including but not limited to:</w:t>
      </w:r>
    </w:p>
    <w:p>
      <w:pPr>
        <w:pStyle w:val="Compact"/>
        <w:numPr>
          <w:ilvl w:val="1"/>
          <w:numId w:val="1016"/>
        </w:numPr>
      </w:pPr>
      <w:r>
        <w:t xml:space="preserve">Actual damages in an amount to be determined at trial (exceeding $2,335,000).</w:t>
      </w:r>
      <w:r>
        <w:br/>
      </w:r>
    </w:p>
    <w:p>
      <w:pPr>
        <w:pStyle w:val="Compact"/>
        <w:numPr>
          <w:ilvl w:val="1"/>
          <w:numId w:val="1016"/>
        </w:numPr>
      </w:pPr>
      <w:r>
        <w:t xml:space="preserve">Reliance damages of $931,000.</w:t>
      </w:r>
      <w:r>
        <w:br/>
      </w:r>
    </w:p>
    <w:p>
      <w:pPr>
        <w:pStyle w:val="Compact"/>
        <w:numPr>
          <w:ilvl w:val="1"/>
          <w:numId w:val="1016"/>
        </w:numPr>
      </w:pPr>
      <w:r>
        <w:t xml:space="preserve">Consequential damages of approximately $1,200,000.</w:t>
      </w:r>
      <w:r>
        <w:br/>
      </w:r>
    </w:p>
    <w:p>
      <w:pPr>
        <w:pStyle w:val="Compact"/>
        <w:numPr>
          <w:ilvl w:val="1"/>
          <w:numId w:val="1016"/>
        </w:numPr>
      </w:pPr>
      <w:r>
        <w:t xml:space="preserve">Punitive damages on the fraudulent inducement count.</w:t>
      </w:r>
      <w:r>
        <w:br/>
      </w:r>
    </w:p>
    <w:p>
      <w:pPr>
        <w:pStyle w:val="Compact"/>
        <w:numPr>
          <w:ilvl w:val="1"/>
          <w:numId w:val="1016"/>
        </w:numPr>
      </w:pPr>
      <w:r>
        <w:t xml:space="preserve">Attorneys’ fees, costs, and pre‑ and post‑judgment interest.</w:t>
      </w:r>
    </w:p>
    <w:p>
      <w:pPr>
        <w:pStyle w:val="FirstParagraph"/>
      </w:pPr>
      <w:r>
        <w:t xml:space="preserve">Respectfully submitted,</w:t>
      </w:r>
    </w:p>
    <w:p>
      <w:pPr>
        <w:pStyle w:val="BodyText"/>
      </w:pPr>
      <w:r>
        <w:rPr>
          <w:b/>
          <w:bCs/>
        </w:rPr>
        <w:t xml:space="preserve">[Counsel for Pinnacle Staffing Solutions, Inc.]</w:t>
      </w:r>
      <w:r>
        <w:br/>
      </w:r>
      <w:r>
        <w:t xml:space="preserve">Date: __________</w:t>
      </w:r>
    </w:p>
    <w:p>
      <w:r>
        <w:pict>
          <v:rect style="width:0;height:1.5pt" o:hralign="center" o:hrstd="t" o:hr="t"/>
        </w:pict>
      </w:r>
    </w:p>
    <w:p>
      <w:pPr>
        <w:pStyle w:val="FirstParagraph"/>
      </w:pPr>
      <w:r>
        <w:rPr>
          <w:i/>
          <w:iCs/>
        </w:rPr>
        <w:t xml:space="preserve">All factual assertions are supported by the Complaint, the MSA, the Motion to Dismiss, the Whitford Declaration, and the email exhibits referenced herein. No facts have been invented beyond those contained in the provided documents.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2026-10-19T22:38:15Z</dcterms:created>
  <dcterms:modified xsi:type="dcterms:W3CDTF">2026-10-19T22:38:15Z</dcterms:modified>
</cp:coreProperties>
</file>

<file path=docProps/custom.xml><?xml version="1.0" encoding="utf-8"?>
<Properties xmlns="http://schemas.openxmlformats.org/officeDocument/2006/custom-properties" xmlns:vt="http://schemas.openxmlformats.org/officeDocument/2006/docPropsVTypes"/>
</file>