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80ab47e55a66a3d7c672721e7c1f701a1fb245"/>
      <w:r>
        <w:t xml:space="preserve">Empirical Legal Evaluation on Harvey Legal Agent Benchmark (LAB): Controlled Direct LLM Tool-Calling (Study A) and Autonomous Agent Harness Integration (Study B)</w:t>
      </w:r>
      <w:bookmarkEnd w:id="9"/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20, 2026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Francisco Jesús Hernández de Blas, Jose Zamora, &amp; Deltoryx / ClaimLayer Team</w:t>
      </w:r>
      <w:r>
        <w:br/>
      </w:r>
      <w:r>
        <w:rPr>
          <w:b/>
          <w:bCs/>
        </w:rPr>
        <w:t xml:space="preserve">Benchmark &amp; Harness Context:</w:t>
      </w:r>
      <w:r>
        <w:t xml:space="preserve"> </w:t>
      </w:r>
      <w:hyperlink r:id="rId10">
        <w:r>
          <w:rPr>
            <w:rStyle w:val="VerbatimChar"/>
          </w:rPr>
          <w:t xml:space="preserve">harveyai/harvey-labs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b58a28a</w:t>
      </w:r>
      <w:r>
        <w:t xml:space="preserve">) and</w:t>
      </w:r>
      <w:r>
        <w:t xml:space="preserve"> </w:t>
      </w:r>
      <w:hyperlink r:id="rId11">
        <w:r>
          <w:rPr>
            <w:rStyle w:val="VerbatimChar"/>
          </w:rPr>
          <w:t xml:space="preserve">google-research/harness2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arXiv:2610.14224</w:t>
      </w:r>
      <w:r>
        <w:t xml:space="preserve">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4 multi-document legal tasks, 20 source commercial documents, 199 official binary rubric criteria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2264279e06fa57b54b135078214a876e07c4636"/>
      <w:r>
        <w:t xml:space="preserve">1. Two Complementary Evaluation Protocols (Section 9.1)</w:t>
      </w:r>
      <w:bookmarkEnd w:id="12"/>
    </w:p>
    <w:p>
      <w:pPr>
        <w:pStyle w:val="FirstParagraph"/>
      </w:pPr>
      <w:r>
        <w:t xml:space="preserve">Evaluating an evidence-structuring layer inside an autonomous coding agent (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and filesystem access) confounds representation quality with agent shell exploration, prompt length (</w:t>
      </w:r>
      <w:r>
        <w:rPr>
          <w:rStyle w:val="VerbatimChar"/>
        </w:rPr>
        <w:t xml:space="preserve">9,456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2,333</w:t>
      </w:r>
      <w:r>
        <w:t xml:space="preserve"> </w:t>
      </w:r>
      <w:r>
        <w:t xml:space="preserve">characters), and file-packaging repairs. Conversely, evaluating an evidence layer only on short synthetic QA misses complex multi-document legal deliverables.</w:t>
      </w:r>
    </w:p>
    <w:p>
      <w:pPr>
        <w:pStyle w:val="BodyText"/>
      </w:pPr>
      <w:r>
        <w:t xml:space="preserve">To address both boundaries, we report two paired evaluations on the same four Harvey LAB tasks (</w:t>
      </w:r>
      <w:r>
        <w:rPr>
          <w:rStyle w:val="VerbatimChar"/>
        </w:rPr>
        <w:t xml:space="preserve">199</w:t>
      </w:r>
      <w:r>
        <w:t xml:space="preserve"> </w:t>
      </w:r>
      <w:r>
        <w:t xml:space="preserve">criteria):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Study A — Controlled Direct LLM Tool-Calling (</w:t>
      </w:r>
      <w:r>
        <w:rPr>
          <w:rStyle w:val="VerbatimChar"/>
          <w:b/>
          <w:bCs/>
        </w:rPr>
        <w:t xml:space="preserve">direct_rag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direct_claimlayer</w:t>
      </w:r>
      <w:r>
        <w:rPr>
          <w:b/>
          <w:bCs/>
        </w:rPr>
        <w:t xml:space="preserve">, No Agent Harness,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Identical Solver Model:</w:t>
      </w:r>
      <w:r>
        <w:t xml:space="preserve"> </w:t>
      </w:r>
      <w:r>
        <w:rPr>
          <w:rStyle w:val="VerbatimChar"/>
        </w:rPr>
        <w:t xml:space="preserve">nvidia/nemotron-3-super-120b-a12b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temperature=0.0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enable_thinking=False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Identical System Prompt &amp; Tool Budget:</w:t>
      </w:r>
      <w:r>
        <w:t xml:space="preserve"> </w:t>
      </w:r>
      <w:r>
        <w:t xml:space="preserve">Both arms receive the exact same 650-character system prompt, no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or filesystem shell, and an identical budget of</w:t>
      </w:r>
      <w:r>
        <w:t xml:space="preserve"> </w:t>
      </w:r>
      <w:r>
        <w:rPr>
          <w:b/>
          <w:bCs/>
        </w:rPr>
        <w:t xml:space="preserve">5 tool-calling rounds</w:t>
      </w:r>
      <w:r>
        <w:t xml:space="preserve"> </w:t>
      </w:r>
      <w:r>
        <w:t xml:space="preserve">followed by</w:t>
      </w:r>
      <w:r>
        <w:t xml:space="preserve"> </w:t>
      </w:r>
      <w:r>
        <w:rPr>
          <w:b/>
          <w:bCs/>
        </w:rPr>
        <w:t xml:space="preserve">1 final synthesis call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Identical Container Packaging:</w:t>
      </w:r>
      <w:r>
        <w:t xml:space="preserve"> </w:t>
      </w:r>
      <w:r>
        <w:t xml:space="preserve">Both arms convert their final Markdown report 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with automated ZIP header (</w:t>
      </w:r>
      <w:r>
        <w:rPr>
          <w:rStyle w:val="VerbatimChar"/>
        </w:rPr>
        <w:t xml:space="preserve">PK\x03\x04</w:t>
      </w:r>
      <w:r>
        <w:t xml:space="preserve">) verification prior to grading (zero container failures in either arm).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Identical Single Judge Across All 4 Tasks:</w:t>
      </w:r>
      <w:r>
        <w:t xml:space="preserve"> </w:t>
      </w:r>
      <w:r>
        <w:rPr>
          <w:rStyle w:val="VerbatimChar"/>
        </w:rPr>
        <w:t xml:space="preserve">evaluation.run_eval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nvidia/nemotron-3-super-120b-a12b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Study B — Exploratory Autonomous Agent Harness Integration (</w:t>
      </w:r>
      <w:r>
        <w:rPr>
          <w:rStyle w:val="VerbatimChar"/>
          <w:b/>
          <w:bCs/>
        </w:rPr>
        <w:t xml:space="preserve">OpenCode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Harness²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 Tree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c5</w:t>
      </w:r>
      <w:r>
        <w:rPr>
          <w:b/>
          <w:bCs/>
        </w:rPr>
        <w:t xml:space="preserve">+</w:t>
      </w:r>
      <w:r>
        <w:rPr>
          <w:rStyle w:val="VerbatimChar"/>
          <w:b/>
          <w:bCs/>
        </w:rPr>
        <w:t xml:space="preserve">c7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t xml:space="preserve">Compares the base</w:t>
      </w:r>
      <w:r>
        <w:t xml:space="preserve"> </w:t>
      </w:r>
      <w:r>
        <w:rPr>
          <w:rStyle w:val="VerbatimChar"/>
        </w:rPr>
        <w:t xml:space="preserve">LAB/OpenCode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v1.14.18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tool_mode="base"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skill_mode="native"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openai/gpt-4.1</w:t>
      </w:r>
      <w:r>
        <w:t xml:space="preserve">) agent against an augmented 8-component harness (</w:t>
      </w:r>
      <w:r>
        <w:rPr>
          <w:rStyle w:val="VerbatimChar"/>
        </w:rPr>
        <w:t xml:space="preserve">c1</w:t>
      </w:r>
      <w:r>
        <w:t xml:space="preserve">–</w:t>
      </w:r>
      <w:r>
        <w:rPr>
          <w:rStyle w:val="VerbatimChar"/>
        </w:rPr>
        <w:t xml:space="preserve">c8</w:t>
      </w:r>
      <w:r>
        <w:t xml:space="preserve">) after document-container repair.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4c362663bbd560b5d096d69b6d6e35463e51a83"/>
      <w:r>
        <w:t xml:space="preserve">2. Study A: Controlled Direct LLM Tool-Calling (No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No Harness Confounds)</w:t>
      </w:r>
      <w:bookmarkEnd w:id="13"/>
    </w:p>
    <w:p>
      <w:pPr>
        <w:pStyle w:val="Heading3"/>
      </w:pPr>
      <w:bookmarkStart w:id="14" w:name="_bbe9b28ae11e48896968f59523bf464735b2e14"/>
      <w:r>
        <w:t xml:space="preserve">2.1 Tool Surfaces Compared</w:t>
      </w:r>
      <w:bookmarkEnd w:id="14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Arm 1 (</w:t>
      </w:r>
      <w:r>
        <w:rPr>
          <w:rStyle w:val="VerbatimChar"/>
          <w:b/>
          <w:bCs/>
        </w:rPr>
        <w:t xml:space="preserve">direct_rag</w:t>
      </w:r>
      <w:r>
        <w:rPr>
          <w:b/>
          <w:bCs/>
        </w:rPr>
        <w:t xml:space="preserve"> </w:t>
      </w:r>
      <w:r>
        <w:rPr>
          <w:b/>
          <w:bCs/>
        </w:rPr>
        <w:t xml:space="preserve">— Standard Chunk Retrieval Tools):</w:t>
      </w:r>
      <w:r>
        <w:t xml:space="preserve"> </w:t>
      </w:r>
      <w:r>
        <w:t xml:space="preserve">Documents are parsed with the LAB parser and segmented into overlapping 1,200-character chunks (200-character overlap) indexed with BM25. The LLM has three tools: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list_documents()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search_chunks(query, filename_filter, top_k)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read_chunk_window(filename, start_chunk, num_chunks)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Arm 2 (</w:t>
      </w:r>
      <w:r>
        <w:rPr>
          <w:rStyle w:val="VerbatimChar"/>
          <w:b/>
          <w:bCs/>
        </w:rPr>
        <w:t xml:space="preserve">direct_claimlayer</w:t>
      </w:r>
      <w:r>
        <w:rPr>
          <w:b/>
          <w:bCs/>
        </w:rPr>
        <w:t xml:space="preserve"> </w:t>
      </w:r>
      <w:r>
        <w:rPr>
          <w:b/>
          <w:bCs/>
        </w:rPr>
        <w:t xml:space="preserve">— ClaimLayer / Deltoryx Structured Evidence &amp; Diff Tools):</w:t>
      </w:r>
      <w:r>
        <w:t xml:space="preserve"> </w:t>
      </w:r>
      <w:r>
        <w:t xml:space="preserve">All paragraphs across all case documents are indexed into ClaimLayer/Deltoryx claim units (with no 80-paragraph truncation), tagged with</w:t>
      </w:r>
      <w:r>
        <w:t xml:space="preserve"> </w:t>
      </w:r>
      <w:r>
        <w:rPr>
          <w:rStyle w:val="VerbatimChar"/>
        </w:rPr>
        <w:t xml:space="preserve">OriginTier</w:t>
      </w:r>
      <w:r>
        <w:t xml:space="preserve"> </w:t>
      </w:r>
      <w:r>
        <w:t xml:space="preserve">source authority (</w:t>
      </w:r>
      <w:r>
        <w:rPr>
          <w:rStyle w:val="VerbatimChar"/>
        </w:rPr>
        <w:t xml:space="preserve">PRIMARY_DOCUMENT</w:t>
      </w:r>
      <w:r>
        <w:t xml:space="preserve"> </w:t>
      </w:r>
      <w:r>
        <w:t xml:space="preserve">Rank 100,</w:t>
      </w:r>
      <w:r>
        <w:t xml:space="preserve"> </w:t>
      </w:r>
      <w:r>
        <w:rPr>
          <w:rStyle w:val="VerbatimChar"/>
        </w:rPr>
        <w:t xml:space="preserve">SECONDARY_ANNEX</w:t>
      </w:r>
      <w:r>
        <w:t xml:space="preserve"> </w:t>
      </w:r>
      <w:r>
        <w:t xml:space="preserve">Rank 50,</w:t>
      </w:r>
      <w:r>
        <w:t xml:space="preserve"> </w:t>
      </w:r>
      <w:r>
        <w:rPr>
          <w:rStyle w:val="VerbatimChar"/>
        </w:rPr>
        <w:t xml:space="preserve">EXTERNAL_INJECTED</w:t>
      </w:r>
      <w:r>
        <w:t xml:space="preserve"> </w:t>
      </w:r>
      <w:r>
        <w:t xml:space="preserve">Rank 10), section locators, and numerical/date tokens, alongside the deterministic cross-document clause diff matrix (</w:t>
      </w:r>
      <w:r>
        <w:rPr>
          <w:rStyle w:val="VerbatimChar"/>
        </w:rPr>
        <w:t xml:space="preserve">compute_clause_diffs</w:t>
      </w:r>
      <w:r>
        <w:t xml:space="preserve">). The LLM has three tools: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get_evidence_overview()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OriginTier</w:t>
      </w:r>
      <w:r>
        <w:t xml:space="preserve"> </w:t>
      </w:r>
      <w:r>
        <w:t xml:space="preserve">hierarchy inventory, redline diff pairs, and controlling playbooks/directives/tables)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get_clause_diffs(filter_query, offset, limit)</w:t>
      </w:r>
      <w:r>
        <w:t xml:space="preserve"> </w:t>
      </w:r>
      <w:r>
        <w:t xml:space="preserve">(queries the deterministic clause-by-clause redline diff matrix and quantitative deltas)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query_claims_and_provisions(query, filename_filter, top_k)</w:t>
      </w:r>
      <w:r>
        <w:t xml:space="preserve"> </w:t>
      </w:r>
      <w:r>
        <w:t xml:space="preserve">(queries typed claim units with authority rank and section/quantitative metadata)</w:t>
      </w:r>
    </w:p>
    <w:p>
      <w:pPr>
        <w:pStyle w:val="Heading3"/>
      </w:pPr>
      <w:bookmarkStart w:id="15" w:name="_565583a7873f0ac95ebee9b1e5cd52750da3ef7"/>
      <w:r>
        <w:t xml:space="preserve">2.2 Study A Paired Results (Same Solver &amp; Same Judge Across All 4 Tasks)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 (</w:t>
            </w:r>
            <w:r>
              <w:rPr>
                <w:rStyle w:val="VerbatimChar"/>
              </w:rPr>
              <w:t xml:space="preserve">practice-area / slug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direct_rag</w:t>
            </w:r>
            <w:r>
              <w:t xml:space="preserve"> </w:t>
            </w:r>
            <w:r>
              <w:t xml:space="preserve">Passed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direct_claimlayer</w:t>
            </w:r>
            <w:r>
              <w:t xml:space="preserve"> </w:t>
            </w:r>
            <w:r>
              <w:t xml:space="preserve">Passed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Difference 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Criterion Transitions (Gain / Loss)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Oracle Union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litigation-dispute-resolution</w:t>
            </w:r>
            <w:r>
              <w:rPr>
                <w:rStyle w:val="VerbatimChar"/>
              </w:rPr>
              <w:t xml:space="preserve">analyze-counterparty-motion-to-dismiss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26 / 34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76.47%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27 / 34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79.41%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+3 / 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29 / 34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85.29%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structured-finance-securitization</w:t>
            </w:r>
            <w:r>
              <w:rPr>
                <w:rStyle w:val="VerbatimChar"/>
              </w:rPr>
              <w:t xml:space="preserve">compare-offering-memorandum-against-indenture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11 / 37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29.73%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11 / 37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29.73%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+0 / -0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11 / 37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29.73%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corporate-ma</w:t>
            </w:r>
            <w:r>
              <w:rPr>
                <w:rStyle w:val="VerbatimChar"/>
              </w:rPr>
              <w:t xml:space="preserve">analyze-counterparty-spa-markup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13 / 62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20.97%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32 / 62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51.61%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+30.65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+23 / 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36 / 62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58.06%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banking-finance</w:t>
            </w:r>
            <w:r>
              <w:rPr>
                <w:rStyle w:val="VerbatimChar"/>
              </w:rPr>
              <w:t xml:space="preserve">analyze-counterparty-markup-of-senior-secured-credit-facility-term-sheet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23 / 66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34.85%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53 / 66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80.30%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+45.45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+30 / -0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53 / 66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80.30%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(Pooled, Single Judge)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73 / 199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36.68%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123 / 199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61.81%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+25.13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+56 / 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129 / 199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64.82%</w:t>
            </w:r>
            <w:r>
              <w:rPr>
                <w:b/>
                <w:bCs/>
              </w:rPr>
              <w:t xml:space="preserve">)</w:t>
            </w:r>
          </w:p>
        </w:tc>
      </w:tr>
    </w:tbl>
    <w:p>
      <w:pPr>
        <w:pStyle w:val="Heading3"/>
      </w:pPr>
      <w:bookmarkStart w:id="16" w:name="_c819123d60802bf94b9122f97461a7d952e8c44"/>
      <w:r>
        <w:t xml:space="preserve">2.3 Study A Summary Metrics &amp; Resource Trade-offs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direct_rag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direct_claimlayer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Difference /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Pooled Criteria Passed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73 / 199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36.68%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123 / 199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61.81%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+50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criteria (</w:t>
            </w:r>
            <w:r>
              <w:rPr>
                <w:rStyle w:val="VerbatimChar"/>
                <w:b/>
                <w:bCs/>
              </w:rPr>
              <w:t xml:space="preserve">+25.13 pp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1.68x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Unweighted Mean of Task Pass Rates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40.51%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60.26%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+19.75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Criterion-Level Gains / Losses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+56</w:t>
            </w:r>
            <w:r>
              <w:t xml:space="preserve"> </w:t>
            </w:r>
            <w:r>
              <w:t xml:space="preserve">gained /</w:t>
            </w:r>
            <w:r>
              <w:t xml:space="preserve"> </w:t>
            </w:r>
            <w:r>
              <w:rPr>
                <w:rStyle w:val="VerbatimChar"/>
              </w:rPr>
              <w:t xml:space="preserve">-6</w:t>
            </w:r>
            <w:r>
              <w:t xml:space="preserve"> </w:t>
            </w:r>
            <w:r>
              <w:t xml:space="preserve">lost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Net</w:t>
            </w:r>
            <w:r>
              <w:t xml:space="preserve"> </w:t>
            </w:r>
            <w:r>
              <w:rPr>
                <w:rStyle w:val="VerbatimChar"/>
              </w:rPr>
              <w:t xml:space="preserve">+50</w:t>
            </w:r>
            <w:r>
              <w:t xml:space="preserve"> </w:t>
            </w: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Oracle Criterion Union (Post-hoc across both arms)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129 / 199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64.82%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+6</w:t>
            </w:r>
            <w:r>
              <w:t xml:space="preserve"> </w:t>
            </w:r>
            <w:r>
              <w:t xml:space="preserve">criteria above</w:t>
            </w:r>
            <w:r>
              <w:t xml:space="preserve"> </w:t>
            </w:r>
            <w:r>
              <w:rPr>
                <w:rStyle w:val="VerbatimChar"/>
              </w:rPr>
              <w:t xml:space="preserve">direct_claimlayer</w:t>
            </w:r>
            <w:r>
              <w:t xml:space="preserve"> </w:t>
            </w:r>
            <w:r>
              <w:t xml:space="preserve">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Calls Executed per Task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</w:t>
            </w:r>
            <w:r>
              <w:t xml:space="preserve"> </w:t>
            </w:r>
            <w:r>
              <w:t xml:space="preserve">total)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</w:t>
            </w:r>
            <w:r>
              <w:t xml:space="preserve"> </w:t>
            </w:r>
            <w:r>
              <w:t xml:space="preserve">total)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Matched (</w:t>
            </w: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tool calls +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synthesis call)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Recorded Solver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142,756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640,546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+497,790</w:t>
            </w:r>
            <w:r>
              <w:t xml:space="preserve"> </w:t>
            </w:r>
            <w:r>
              <w:t xml:space="preserve">tokens (</w:t>
            </w:r>
            <w:r>
              <w:rPr>
                <w:rStyle w:val="VerbatimChar"/>
              </w:rPr>
              <w:t xml:space="preserve">4.49x</w:t>
            </w:r>
            <w:r>
              <w:t xml:space="preserve"> </w:t>
            </w:r>
            <w:r>
              <w:t xml:space="preserve">context volume)</w:t>
            </w:r>
          </w:p>
        </w:tc>
      </w:tr>
    </w:tbl>
    <w:p>
      <w:pPr>
        <w:pStyle w:val="Heading3"/>
      </w:pPr>
      <w:bookmarkStart w:id="17" w:name="_fbf89dd1d227952051578c2948a8c9cc2884af0"/>
      <w:r>
        <w:t xml:space="preserve">2.4 Key Takeaways from Study A</w:t>
      </w:r>
      <w:bookmarkEnd w:id="17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Substantial Gain on Redline &amp; Quantitative Contract Tasks (</w:t>
      </w:r>
      <w:r>
        <w:rPr>
          <w:rStyle w:val="VerbatimChar"/>
          <w:b/>
          <w:bCs/>
        </w:rPr>
        <w:t xml:space="preserve">+30.65 pp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+45.45 pp</w:t>
      </w:r>
      <w:r>
        <w:rPr>
          <w:b/>
          <w:bCs/>
        </w:rPr>
        <w:t xml:space="preserve">):</w:t>
      </w:r>
      <w:r>
        <w:t xml:space="preserve"> </w:t>
      </w:r>
      <w:r>
        <w:t xml:space="preserve">When the LLM is restricted to 5 tool-calling rounds without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standard BM25 chunk search (</w:t>
      </w:r>
      <w:r>
        <w:rPr>
          <w:rStyle w:val="VerbatimChar"/>
        </w:rPr>
        <w:t xml:space="preserve">direct_rag</w:t>
      </w:r>
      <w:r>
        <w:t xml:space="preserve">) misses scattered clause modifications and fails to align counterparty markups with governing playbooks and financial tables (</w:t>
      </w:r>
      <w:r>
        <w:rPr>
          <w:rStyle w:val="VerbatimChar"/>
        </w:rPr>
        <w:t xml:space="preserve">13/62</w:t>
      </w:r>
      <w:r>
        <w:t xml:space="preserve"> </w:t>
      </w:r>
      <w:r>
        <w:t xml:space="preserve">on Corporate M&amp;A;</w:t>
      </w:r>
      <w:r>
        <w:t xml:space="preserve"> </w:t>
      </w:r>
      <w:r>
        <w:rPr>
          <w:rStyle w:val="VerbatimChar"/>
        </w:rPr>
        <w:t xml:space="preserve">23/66</w:t>
      </w:r>
      <w:r>
        <w:t xml:space="preserve"> </w:t>
      </w:r>
      <w:r>
        <w:t xml:space="preserve">on Banking &amp; Finance). Providing structured claim units,</w:t>
      </w:r>
      <w:r>
        <w:t xml:space="preserve"> </w:t>
      </w:r>
      <w:r>
        <w:rPr>
          <w:rStyle w:val="VerbatimChar"/>
        </w:rPr>
        <w:t xml:space="preserve">OriginTier</w:t>
      </w:r>
      <w:r>
        <w:t xml:space="preserve"> </w:t>
      </w:r>
      <w:r>
        <w:t xml:space="preserve">authority inventory, controlling tables, and deterministic clause-by-clause diffs (</w:t>
      </w:r>
      <w:r>
        <w:rPr>
          <w:rStyle w:val="VerbatimChar"/>
        </w:rPr>
        <w:t xml:space="preserve">direct_claimlayer</w:t>
      </w:r>
      <w:r>
        <w:t xml:space="preserve">) raises Corporate M&amp;A to</w:t>
      </w:r>
      <w:r>
        <w:t xml:space="preserve"> </w:t>
      </w:r>
      <w:r>
        <w:rPr>
          <w:rStyle w:val="VerbatimChar"/>
          <w:b/>
          <w:bCs/>
        </w:rPr>
        <w:t xml:space="preserve">32/62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51.61%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+23 / -4</w:t>
      </w:r>
      <w:r>
        <w:rPr>
          <w:b/>
          <w:bCs/>
        </w:rPr>
        <w:t xml:space="preserve">)</w:t>
      </w:r>
      <w:r>
        <w:t xml:space="preserve"> </w:t>
      </w:r>
      <w:r>
        <w:t xml:space="preserve">and Banking &amp; Finance to</w:t>
      </w:r>
      <w:r>
        <w:t xml:space="preserve"> </w:t>
      </w:r>
      <w:r>
        <w:rPr>
          <w:rStyle w:val="VerbatimChar"/>
          <w:b/>
          <w:bCs/>
        </w:rPr>
        <w:t xml:space="preserve">53/66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80.30%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+30 / -0</w:t>
      </w:r>
      <w:r>
        <w:rPr>
          <w:b/>
          <w:bCs/>
        </w:rPr>
        <w:t xml:space="preserve">)</w:t>
      </w:r>
      <w:r>
        <w:t xml:space="preserve"> </w:t>
      </w:r>
      <w:r>
        <w:t xml:space="preserve">in a single rollout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Elimination of the Banking Regression Seen in Study B (</w:t>
      </w:r>
      <w:r>
        <w:rPr>
          <w:rStyle w:val="VerbatimChar"/>
          <w:b/>
          <w:bCs/>
        </w:rPr>
        <w:t xml:space="preserve">+30 / -0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rStyle w:val="VerbatimChar"/>
          <w:b/>
          <w:bCs/>
        </w:rPr>
        <w:t xml:space="preserve">+13 / -12</w:t>
      </w:r>
      <w:r>
        <w:rPr>
          <w:b/>
          <w:bCs/>
        </w:rPr>
        <w:t xml:space="preserve">):</w:t>
      </w:r>
      <w:r>
        <w:t xml:space="preserve"> </w:t>
      </w:r>
      <w:r>
        <w:t xml:space="preserve">Removing the 80-paragraph indexing cap (</w:t>
      </w:r>
      <w:r>
        <w:rPr>
          <w:rStyle w:val="VerbatimChar"/>
        </w:rPr>
        <w:t xml:space="preserve">paragraphs[:80]</w:t>
      </w:r>
      <w:r>
        <w:t xml:space="preserve">) present in the legacy</w:t>
      </w:r>
      <w:r>
        <w:t xml:space="preserve"> </w:t>
      </w:r>
      <w:r>
        <w:rPr>
          <w:rStyle w:val="VerbatimChar"/>
        </w:rPr>
        <w:t xml:space="preserve">deltoryx_audit.py</w:t>
      </w:r>
      <w:r>
        <w:t xml:space="preserve"> </w:t>
      </w:r>
      <w:r>
        <w:t xml:space="preserve">script and exposing both the controlling playbook/directives and the full-text redline diff matrix through structured tools eliminated the 12 criterion losses observed in the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agent 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 Density vs. Token Expenditure: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get_evidence_overview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get_clause_diffs</w:t>
      </w:r>
      <w:r>
        <w:t xml:space="preserve"> </w:t>
      </w:r>
      <w:r>
        <w:t xml:space="preserve">return rich structured tables and redline pairs per call,</w:t>
      </w:r>
      <w:r>
        <w:t xml:space="preserve"> </w:t>
      </w:r>
      <w:r>
        <w:rPr>
          <w:rStyle w:val="VerbatimChar"/>
        </w:rPr>
        <w:t xml:space="preserve">direct_claimlayer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640,546</w:t>
      </w:r>
      <w:r>
        <w:t xml:space="preserve"> </w:t>
      </w:r>
      <w:r>
        <w:t xml:space="preserve">solver tokens across the 4 tasks versus</w:t>
      </w:r>
      <w:r>
        <w:t xml:space="preserve"> </w:t>
      </w:r>
      <w:r>
        <w:rPr>
          <w:rStyle w:val="VerbatimChar"/>
        </w:rPr>
        <w:t xml:space="preserve">142,756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direct_rag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1c31cde0a4dbc72b4f311baaba5cbafd134ddc3"/>
      <w:r>
        <w:t xml:space="preserve">3. Study B: Exploratory Autonomous Agent Harness Integration (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Harness²</w:t>
      </w:r>
      <w:r>
        <w:t xml:space="preserve">)</w:t>
      </w:r>
      <w:bookmarkEnd w:id="18"/>
    </w:p>
    <w:p>
      <w:pPr>
        <w:pStyle w:val="Heading3"/>
      </w:pPr>
      <w:bookmarkStart w:id="19" w:name="_f826339c8ece5ff36ee0a61932e8f87994e2995"/>
      <w:r>
        <w:t xml:space="preserve">3.1 Paired Task-Level Breakdown (After Container Repair, Same Judge Within Each Task)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 (</w:t>
            </w:r>
            <w:r>
              <w:rPr>
                <w:rStyle w:val="VerbatimChar"/>
              </w:rPr>
              <w:t xml:space="preserve">practice-area / slug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 Agent Passed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Augmented Agent Passed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Difference 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Criterion Transitions (Gain / Loss)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litigation-dispute-resolution</w:t>
            </w:r>
            <w:r>
              <w:rPr>
                <w:rStyle w:val="VerbatimChar"/>
              </w:rPr>
              <w:t xml:space="preserve">analyze-counterparty-motion-to-dismiss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 / 34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2.94%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19 / 34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55.88%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+52.94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+18 / -0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openai/gpt-4.1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structured-finance-securitization</w:t>
            </w:r>
            <w:r>
              <w:rPr>
                <w:rStyle w:val="VerbatimChar"/>
              </w:rPr>
              <w:t xml:space="preserve">compare-offering-memorandum-against-indenture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 / 37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8.11%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12 / 37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32.43%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+24.32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+10 / 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nvidia/nemotron-3-super-120b-a12b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corporate-ma</w:t>
            </w:r>
            <w:r>
              <w:rPr>
                <w:rStyle w:val="VerbatimChar"/>
              </w:rPr>
              <w:t xml:space="preserve">analyze-counterparty-spa-markup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15 / 62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24.19%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24 / 62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38.71%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+14.52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+12 / 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nvidia/nemotron-3-super-120b-a12b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banking-finance</w:t>
            </w:r>
            <w:r>
              <w:rPr>
                <w:rStyle w:val="VerbatimChar"/>
              </w:rPr>
              <w:t xml:space="preserve">analyze-counterparty-markup-of-senior-secured-credit-facility-term-sheet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43 / 66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65.15%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44 / 66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66.67%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+13 / 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openai/gpt-4.1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(Pooled)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62 / 199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31.16%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99 / 199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49.75%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+18.59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+53 / 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Mixed (Matched per task)</w:t>
            </w:r>
          </w:p>
        </w:tc>
      </w:tr>
    </w:tbl>
    <w:p>
      <w:pPr>
        <w:pStyle w:val="Heading3"/>
      </w:pPr>
      <w:bookmarkStart w:id="20" w:name="_2a909cce652a2d2664f9d864d2bb4cacd916418"/>
      <w:r>
        <w:t xml:space="preserve">3.2 Methodological Notes on Study B</w:t>
      </w:r>
      <w:bookmarkEnd w:id="20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Container Repair &amp; Judge Pairing:</w:t>
      </w:r>
      <w:r>
        <w:t xml:space="preserve"> </w:t>
      </w:r>
      <w:r>
        <w:t xml:space="preserve">An earlier draft reported</w:t>
      </w:r>
      <w:r>
        <w:t xml:space="preserve"> </w:t>
      </w:r>
      <w:r>
        <w:rPr>
          <w:rStyle w:val="VerbatimChar"/>
        </w:rPr>
        <w:t xml:space="preserve">47/199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106/199</w:t>
      </w:r>
      <w:r>
        <w:t xml:space="preserve">, which combined a</w:t>
      </w:r>
      <w:r>
        <w:t xml:space="preserve"> </w:t>
      </w:r>
      <w:r>
        <w:rPr>
          <w:rStyle w:val="VerbatimChar"/>
        </w:rPr>
        <w:t xml:space="preserve">31/62</w:t>
      </w:r>
      <w:r>
        <w:t xml:space="preserve"> </w:t>
      </w:r>
      <w:r>
        <w:t xml:space="preserve">GPT-4.1 evaluation on the repaired augmented Corporate M&amp;A artifact with a</w:t>
      </w:r>
      <w:r>
        <w:t xml:space="preserve"> </w:t>
      </w:r>
      <w:r>
        <w:rPr>
          <w:rStyle w:val="VerbatimChar"/>
        </w:rPr>
        <w:t xml:space="preserve">0/62</w:t>
      </w:r>
      <w:r>
        <w:t xml:space="preserve"> </w:t>
      </w:r>
      <w:r>
        <w:t xml:space="preserve">pre-repair base M&amp;A score (when both M&amp;A arms scored</w:t>
      </w:r>
      <w:r>
        <w:t xml:space="preserve"> </w:t>
      </w:r>
      <w:r>
        <w:rPr>
          <w:rStyle w:val="VerbatimChar"/>
        </w:rPr>
        <w:t xml:space="preserve">0/62</w:t>
      </w:r>
      <w:r>
        <w:t xml:space="preserve"> </w:t>
      </w:r>
      <w:r>
        <w:t xml:space="preserve">pre-repair due to raw Markdown written 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paths). Table 3.1 enforces matching judges within each task after container repair (</w:t>
      </w:r>
      <w:r>
        <w:rPr>
          <w:rStyle w:val="VerbatimChar"/>
        </w:rPr>
        <w:t xml:space="preserve">15/62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24/62</w:t>
      </w:r>
      <w:r>
        <w:t xml:space="preserve"> </w:t>
      </w:r>
      <w:r>
        <w:t xml:space="preserve">under Nemotron).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Oracle Criterion Union vs. Whole-Deliverable Selection:</w:t>
      </w:r>
      <w:r>
        <w:t xml:space="preserve"> </w:t>
      </w:r>
      <w:r>
        <w:t xml:space="preserve">In Study B, the post-hoc criterion union across both arms is</w:t>
      </w:r>
      <w:r>
        <w:t xml:space="preserve"> </w:t>
      </w:r>
      <w:r>
        <w:rPr>
          <w:rStyle w:val="VerbatimChar"/>
        </w:rPr>
        <w:t xml:space="preserve">115/199</w:t>
      </w:r>
      <w:r>
        <w:t xml:space="preserve"> </w:t>
      </w:r>
      <w:r>
        <w:t xml:space="preserve">(</w:t>
      </w:r>
      <w:r>
        <w:rPr>
          <w:rStyle w:val="VerbatimChar"/>
        </w:rPr>
        <w:t xml:space="preserve">57.79%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56/66</w:t>
      </w:r>
      <w:r>
        <w:t xml:space="preserve"> </w:t>
      </w:r>
      <w:r>
        <w:t xml:space="preserve">(</w:t>
      </w:r>
      <w:r>
        <w:rPr>
          <w:rStyle w:val="VerbatimChar"/>
        </w:rPr>
        <w:t xml:space="preserve">84.85%</w:t>
      </w:r>
      <w:r>
        <w:t xml:space="preserve">) in Banking. A whole-response selector is capped at</w:t>
      </w:r>
      <w:r>
        <w:t xml:space="preserve"> </w:t>
      </w:r>
      <w:r>
        <w:rPr>
          <w:rStyle w:val="VerbatimChar"/>
        </w:rPr>
        <w:t xml:space="preserve">99/199</w:t>
      </w:r>
      <w:r>
        <w:t xml:space="preserve"> </w:t>
      </w:r>
      <w:r>
        <w:t xml:space="preserve">(</w:t>
      </w:r>
      <w:r>
        <w:rPr>
          <w:rStyle w:val="VerbatimChar"/>
        </w:rPr>
        <w:t xml:space="preserve">49.75%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Resource Use &amp; Bundled Intervention:</w:t>
      </w:r>
      <w:r>
        <w:t xml:space="preserve"> </w:t>
      </w:r>
      <w:r>
        <w:t xml:space="preserve">Solver token usage in Study B rose from</w:t>
      </w:r>
      <w:r>
        <w:t xml:space="preserve"> </w:t>
      </w:r>
      <w:r>
        <w:rPr>
          <w:rStyle w:val="VerbatimChar"/>
        </w:rPr>
        <w:t xml:space="preserve">220,320</w:t>
      </w:r>
      <w:r>
        <w:t xml:space="preserve"> </w:t>
      </w:r>
      <w:r>
        <w:t xml:space="preserve">(base) to</w:t>
      </w:r>
      <w:r>
        <w:t xml:space="preserve"> </w:t>
      </w:r>
      <w:r>
        <w:rPr>
          <w:rStyle w:val="VerbatimChar"/>
        </w:rPr>
        <w:t xml:space="preserve">388,406</w:t>
      </w:r>
      <w:r>
        <w:t xml:space="preserve"> </w:t>
      </w:r>
      <w:r>
        <w:t xml:space="preserve">(augmented,</w:t>
      </w:r>
      <w:r>
        <w:t xml:space="preserve"> </w:t>
      </w:r>
      <w:r>
        <w:rPr>
          <w:rStyle w:val="VerbatimChar"/>
        </w:rPr>
        <w:t xml:space="preserve">+76.3%</w:t>
      </w:r>
      <w:r>
        <w:t xml:space="preserve">; logged solver cost</w:t>
      </w:r>
      <w:r>
        <w:t xml:space="preserve"> </w:t>
      </w:r>
      <w:r>
        <w:rPr>
          <w:rStyle w:val="VerbatimChar"/>
        </w:rPr>
        <w:t xml:space="preserve">USD 1.8000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USD 2.4705</w:t>
      </w:r>
      <w:r>
        <w:t xml:space="preserve">,</w:t>
      </w:r>
      <w:r>
        <w:t xml:space="preserve"> </w:t>
      </w:r>
      <w:r>
        <w:rPr>
          <w:rStyle w:val="VerbatimChar"/>
        </w:rPr>
        <w:t xml:space="preserve">+37.3%</w:t>
      </w:r>
      <w:r>
        <w:t xml:space="preserve">), with always-on prompt characters increasing from</w:t>
      </w:r>
      <w:r>
        <w:t xml:space="preserve"> </w:t>
      </w:r>
      <w:r>
        <w:rPr>
          <w:rStyle w:val="VerbatimChar"/>
        </w:rPr>
        <w:t xml:space="preserve">2,333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9,456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ce123c1f342bb42cbce62b422870deb8fd61ee8"/>
      <w:r>
        <w:t xml:space="preserve">4. Repository Artifacts</w:t>
      </w:r>
      <w:bookmarkEnd w:id="21"/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Direct LLM Tool-Calling Runner (Study A):</w:t>
      </w:r>
      <w:r>
        <w:t xml:space="preserve"> </w:t>
      </w:r>
      <w:hyperlink r:id="rId22">
        <w:r>
          <w:rPr>
            <w:rStyle w:val="VerbatimChar"/>
          </w:rPr>
          <w:t xml:space="preserve">benchmarks/run_direct_tool_benchmark.py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Direct LLM Tool-Calling Summary &amp; Per-Task Scores (Study A):</w:t>
      </w:r>
      <w:r>
        <w:t xml:space="preserve"> </w:t>
      </w:r>
      <w:hyperlink r:id="rId23">
        <w:r>
          <w:rPr>
            <w:rStyle w:val="VerbatimChar"/>
          </w:rPr>
          <w:t xml:space="preserve">benchmarks/direct_tool_results/direct_tool_summary.json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OpenCode Component Tree (Study B):</w:t>
      </w:r>
      <w:r>
        <w:t xml:space="preserve"> </w:t>
      </w:r>
      <w:hyperlink r:id="rId24">
        <w:r>
          <w:rPr>
            <w:rStyle w:val="VerbatimChar"/>
          </w:rPr>
          <w:t xml:space="preserve">benchmarks/deltoryx_lab/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 Indexing &amp; Verification Script (Study B):</w:t>
      </w:r>
      <w:r>
        <w:t xml:space="preserve"> </w:t>
      </w:r>
      <w:hyperlink r:id="rId25">
        <w:r>
          <w:rPr>
            <w:rStyle w:val="VerbatimChar"/>
          </w:rPr>
          <w:t xml:space="preserve">benchmarks/deltoryx_lab/scripts/deltoryx_audit.py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OpenCode A/B Benchmark Runner (Study B):</w:t>
      </w:r>
      <w:r>
        <w:t xml:space="preserve"> </w:t>
      </w:r>
      <w:hyperlink r:id="rId26">
        <w:r>
          <w:rPr>
            <w:rStyle w:val="VerbatimChar"/>
          </w:rPr>
          <w:t xml:space="preserve">benchmarks/run_ab_benchmark.py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benchmarks/deltoryx_lab/" TargetMode="External" /><Relationship Type="http://schemas.openxmlformats.org/officeDocument/2006/relationships/hyperlink" Id="rId25" Target="../benchmarks/deltoryx_lab/scripts/deltoryx_audit.py" TargetMode="External" /><Relationship Type="http://schemas.openxmlformats.org/officeDocument/2006/relationships/hyperlink" Id="rId23" Target="../benchmarks/direct_tool_results/direct_tool_summary.json" TargetMode="External" /><Relationship Type="http://schemas.openxmlformats.org/officeDocument/2006/relationships/hyperlink" Id="rId26" Target="../benchmarks/run_ab_benchmark.py" TargetMode="External" /><Relationship Type="http://schemas.openxmlformats.org/officeDocument/2006/relationships/hyperlink" Id="rId22" Target="../benchmarks/run_direct_tool_benchmark.py" TargetMode="External" /><Relationship Type="http://schemas.openxmlformats.org/officeDocument/2006/relationships/hyperlink" Id="rId11" Target="https://github.com/google-research/harness2" TargetMode="External" /><Relationship Type="http://schemas.openxmlformats.org/officeDocument/2006/relationships/hyperlink" Id="rId10" Target="https://github.com/harveyai/harvey-lab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benchmarks/deltoryx_lab/" TargetMode="External" /><Relationship Type="http://schemas.openxmlformats.org/officeDocument/2006/relationships/hyperlink" Id="rId25" Target="../benchmarks/deltoryx_lab/scripts/deltoryx_audit.py" TargetMode="External" /><Relationship Type="http://schemas.openxmlformats.org/officeDocument/2006/relationships/hyperlink" Id="rId23" Target="../benchmarks/direct_tool_results/direct_tool_summary.json" TargetMode="External" /><Relationship Type="http://schemas.openxmlformats.org/officeDocument/2006/relationships/hyperlink" Id="rId26" Target="../benchmarks/run_ab_benchmark.py" TargetMode="External" /><Relationship Type="http://schemas.openxmlformats.org/officeDocument/2006/relationships/hyperlink" Id="rId22" Target="../benchmarks/run_direct_tool_benchmark.py" TargetMode="External" /><Relationship Type="http://schemas.openxmlformats.org/officeDocument/2006/relationships/hyperlink" Id="rId11" Target="https://github.com/google-research/harness2" TargetMode="External" /><Relationship Type="http://schemas.openxmlformats.org/officeDocument/2006/relationships/hyperlink" Id="rId10" Target="https://github.com/harveyai/harvey-lab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2026-10-20T07:34:15Z</dcterms:created>
  <dcterms:modified xsi:type="dcterms:W3CDTF">2026-10-20T07:34:15Z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