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2a2160661d02e5d16799eb4b1c3b7a4bb973a10"/>
      <w:r>
        <w:t xml:space="preserve">Empirical A/B Evaluation: Google Research</w:t>
      </w:r>
      <w:r>
        <w:t xml:space="preserve"> </w:t>
      </w:r>
      <w:r>
        <w:rPr>
          <w:rStyle w:val="VerbatimChar"/>
        </w:rPr>
        <w:t xml:space="preserve">Harness²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Harness² + ClaimLayer v2.0</w:t>
      </w:r>
      <w:r>
        <w:t xml:space="preserve"> </w:t>
      </w:r>
      <w:r>
        <w:t xml:space="preserve">on Harvey Legal Agent Benchmark (LAB)</w:t>
      </w:r>
      <w:bookmarkEnd w:id="9"/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19, 2026</w:t>
      </w:r>
      <w:r>
        <w:br/>
      </w:r>
      <w:r>
        <w:rPr>
          <w:b/>
          <w:bCs/>
        </w:rPr>
        <w:t xml:space="preserve">Author:</w:t>
      </w:r>
      <w:r>
        <w:t xml:space="preserve"> </w:t>
      </w:r>
      <w:r>
        <w:t xml:space="preserve">Antigravity (Google DeepMind) in collaboration with the Deltoryx / ClaimLayer Platform Team</w:t>
      </w:r>
      <w:r>
        <w:br/>
      </w:r>
      <w:r>
        <w:rPr>
          <w:b/>
          <w:bCs/>
        </w:rPr>
        <w:t xml:space="preserve">ClaimLayer Version Evaluated:</w:t>
      </w:r>
      <w:r>
        <w:t xml:space="preserve"> </w:t>
      </w:r>
      <w:r>
        <w:rPr>
          <w:rStyle w:val="VerbatimChar"/>
        </w:rPr>
        <w:t xml:space="preserve">v2.0</w:t>
      </w:r>
      <w:r>
        <w:t xml:space="preserve"> </w:t>
      </w:r>
      <w:r>
        <w:t xml:space="preserve">— Commit</w:t>
      </w:r>
      <w:r>
        <w:t xml:space="preserve"> </w:t>
      </w:r>
      <w:r>
        <w:rPr>
          <w:rStyle w:val="VerbatimChar"/>
        </w:rPr>
        <w:t xml:space="preserve">d70bf3f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feat(v2.0): unify ClaimLayer &amp; Deltoryx Core across Sprints 1-9 (Evidence Intelligence v2.0)</w:t>
      </w:r>
      <w:r>
        <w:t xml:space="preserve">)</w:t>
      </w:r>
      <w:r>
        <w:br/>
      </w:r>
      <w:r>
        <w:rPr>
          <w:b/>
          <w:bCs/>
        </w:rPr>
        <w:t xml:space="preserve">Benchmark Suite:</w:t>
      </w:r>
      <w:r>
        <w:t xml:space="preserve"> </w:t>
      </w:r>
      <w:hyperlink r:id="rId10">
        <w:r>
          <w:rPr>
            <w:rStyle w:val="VerbatimChar"/>
          </w:rPr>
          <w:t xml:space="preserve">google-research/harness2</w:t>
        </w:r>
      </w:hyperlink>
      <w:r>
        <w:t xml:space="preserve"> </w:t>
      </w:r>
      <w:r>
        <w:t xml:space="preserve">(arXiv:2610.14224) +</w:t>
      </w:r>
      <w:r>
        <w:t xml:space="preserve"> </w:t>
      </w:r>
      <w:hyperlink r:id="rId11">
        <w:r>
          <w:rPr>
            <w:rStyle w:val="VerbatimChar"/>
          </w:rPr>
          <w:t xml:space="preserve">harveyai/harvey-labs</w:t>
        </w:r>
      </w:hyperlink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b58a28a</w:t>
      </w:r>
      <w:r>
        <w:t xml:space="preserve">, 1,143 professional legal tasks)</w:t>
      </w:r>
      <w:r>
        <w:br/>
      </w:r>
      <w:r>
        <w:rPr>
          <w:b/>
          <w:bCs/>
        </w:rPr>
        <w:t xml:space="preserve">Agent Substrate: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v1.14.18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23fb5e0516c9...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tool_mode="base"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skill_mode="native"</w:t>
      </w:r>
      <w:r>
        <w:t xml:space="preserve">)</w:t>
      </w:r>
      <w:r>
        <w:br/>
      </w:r>
      <w:r>
        <w:rPr>
          <w:b/>
          <w:bCs/>
        </w:rPr>
        <w:t xml:space="preserve">Solver Model:</w:t>
      </w:r>
      <w:r>
        <w:t xml:space="preserve"> </w:t>
      </w:r>
      <w:r>
        <w:rPr>
          <w:rStyle w:val="VerbatimChar"/>
        </w:rPr>
        <w:t xml:space="preserve">openai/gpt-4.1</w:t>
      </w:r>
      <w:r>
        <w:br/>
      </w:r>
      <w:r>
        <w:rPr>
          <w:b/>
          <w:bCs/>
        </w:rPr>
        <w:t xml:space="preserve">Official Evaluator:</w:t>
      </w:r>
      <w:r>
        <w:t xml:space="preserve"> </w:t>
      </w:r>
      <w:r>
        <w:rPr>
          <w:rStyle w:val="VerbatimChar"/>
        </w:rPr>
        <w:t xml:space="preserve">harvey-labs/evaluation/run_eval.py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temperature=0.0</w:t>
      </w:r>
      <w:r>
        <w:t xml:space="preserve">, strict schema JSON validation per rubric criterion)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4 representative legal practice areas, 20 source commercial documents (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 199 official binary rubric evaluation criteria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de2a451d1f00b1ccf8acedeb50ec79855fb3962"/>
      <w:r>
        <w:t xml:space="preserve">1. Context and Research Question</w:t>
      </w:r>
      <w:bookmarkEnd w:id="12"/>
    </w:p>
    <w:p>
      <w:pPr>
        <w:pStyle w:val="Heading3"/>
      </w:pPr>
      <w:bookmarkStart w:id="13" w:name="_a48cd8b886065b00f28176efa516fce7fdf3602"/>
      <w:r>
        <w:t xml:space="preserve">1.1 The Release of</w:t>
      </w:r>
      <w:r>
        <w:t xml:space="preserve"> </w:t>
      </w:r>
      <w:r>
        <w:rPr>
          <w:rStyle w:val="VerbatimChar"/>
        </w:rPr>
        <w:t xml:space="preserve">google-research/harness2</w:t>
      </w:r>
      <w:bookmarkEnd w:id="13"/>
    </w:p>
    <w:p>
      <w:pPr>
        <w:pStyle w:val="FirstParagraph"/>
      </w:pPr>
      <w:r>
        <w:t xml:space="preserve">In October 2026, Google Research released the open-source codebase and preprint for</w:t>
      </w:r>
      <w:r>
        <w:t xml:space="preserve"> </w:t>
      </w:r>
      <w:r>
        <w:rPr>
          <w:rStyle w:val="VerbatimChar"/>
          <w:b/>
          <w:bCs/>
        </w:rPr>
        <w:t xml:space="preserve">Harness²</w:t>
      </w:r>
      <w:r>
        <w:t xml:space="preserve"> </w:t>
      </w:r>
      <w:r>
        <w:t xml:space="preserve">(</w:t>
      </w:r>
      <w:r>
        <w:rPr>
          <w:i/>
          <w:iCs/>
        </w:rPr>
        <w:t xml:space="preserve">Harness²: Optimizing Agent Harnesses via Experience-Guided Composition and Selection</w:t>
      </w:r>
      <w:r>
        <w:t xml:space="preserve">, arXiv:2610.14224). The paper addresses a foundational bottleneck in autonomous agent engineering: while the foundation model and environment tools are typically fixed, the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(the surrounding prompts, guardrails, long-term memory, auxiliary scripts, and modular skills) is traditionally designed manually and suboptimally.</w:t>
      </w:r>
    </w:p>
    <w:p>
      <w:pPr>
        <w:pStyle w:val="BodyText"/>
      </w:pPr>
      <w:r>
        <w:rPr>
          <w:rStyle w:val="VerbatimChar"/>
        </w:rPr>
        <w:t xml:space="preserve">Harness²</w:t>
      </w:r>
      <w:r>
        <w:t xml:space="preserve"> </w:t>
      </w:r>
      <w:r>
        <w:t xml:space="preserve">automates harness optimization through two primary mechanisms: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Experience-Guided Composition:</w:t>
      </w:r>
      <w:r>
        <w:t xml:space="preserve"> </w:t>
      </w:r>
      <w:r>
        <w:t xml:space="preserve">Decomposes the harness into an 8-component tree (</w:t>
      </w:r>
      <w:r>
        <w:rPr>
          <w:rStyle w:val="VerbatimChar"/>
        </w:rPr>
        <w:t xml:space="preserve">c1: systemprompt.md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c2: guardrails.md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c3: LongTermMEMORY.md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c4: tool_descriptions/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c5: 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c6: sub_agents/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c7: 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c8: plugin/</w:t>
      </w:r>
      <w:r>
        <w:t xml:space="preserve">) and optimizes these components by learning iteratively from failures observed during training rollouts.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Experience-Guided Selection (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Executes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parallel or sequential rollouts and employs a learned discriminator to select the optimal final deliverable.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Harvey Legal Agent Benchmark (LAB)</w:t>
      </w:r>
      <w:r>
        <w:t xml:space="preserve">—a rigorous legal reasoning benchmark evaluating professional workflows over corporate M&amp;A, litigation, finance, and regulatory records—</w:t>
      </w:r>
      <w:r>
        <w:rPr>
          <w:rStyle w:val="VerbatimChar"/>
        </w:rPr>
        <w:t xml:space="preserve">Harness²</w:t>
      </w:r>
      <w:r>
        <w:t xml:space="preserve"> </w:t>
      </w:r>
      <w:r>
        <w:t xml:space="preserve">reported substantial improvements in Table 2: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Gemini 3.5 Flash: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79.9%</w:t>
      </w:r>
      <w:r>
        <w:t xml:space="preserve"> </w:t>
      </w:r>
      <w:r>
        <w:t xml:space="preserve">(Base Harness) to</w:t>
      </w:r>
      <w:r>
        <w:t xml:space="preserve"> </w:t>
      </w:r>
      <w:r>
        <w:rPr>
          <w:rStyle w:val="VerbatimChar"/>
        </w:rPr>
        <w:t xml:space="preserve">81.9%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84.5%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GLM-5: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59.6%</w:t>
      </w:r>
      <w:r>
        <w:t xml:space="preserve"> </w:t>
      </w:r>
      <w:r>
        <w:t xml:space="preserve">(Base Harness) to</w:t>
      </w:r>
      <w:r>
        <w:t xml:space="preserve"> </w:t>
      </w:r>
      <w:r>
        <w:rPr>
          <w:rStyle w:val="VerbatimChar"/>
        </w:rPr>
        <w:t xml:space="preserve">71.4%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78.1%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).</w:t>
      </w:r>
    </w:p>
    <w:p>
      <w:pPr>
        <w:pStyle w:val="Heading3"/>
      </w:pPr>
      <w:bookmarkStart w:id="14" w:name="_eaf7a0546931166d1e0b720a4119149588928e6"/>
      <w:r>
        <w:t xml:space="preserve">1.2 The Research Question: Can ClaimLayer Deterministically Enhance</w:t>
      </w:r>
      <w:r>
        <w:t xml:space="preserve"> </w:t>
      </w:r>
      <w:r>
        <w:rPr>
          <w:rStyle w:val="VerbatimChar"/>
        </w:rPr>
        <w:t xml:space="preserve">Harness²</w:t>
      </w:r>
      <w:r>
        <w:t xml:space="preserve">?</w:t>
      </w:r>
      <w:bookmarkEnd w:id="14"/>
    </w:p>
    <w:p>
      <w:pPr>
        <w:pStyle w:val="FirstParagraph"/>
      </w:pPr>
      <w:r>
        <w:t xml:space="preserve">In commit</w:t>
      </w:r>
      <w:r>
        <w:t xml:space="preserve"> </w:t>
      </w:r>
      <w:r>
        <w:rPr>
          <w:rStyle w:val="VerbatimChar"/>
        </w:rPr>
        <w:t xml:space="preserve">d70bf3f</w:t>
      </w:r>
      <w:r>
        <w:t xml:space="preserve">, the</w:t>
      </w:r>
      <w:r>
        <w:t xml:space="preserve"> </w:t>
      </w:r>
      <w:r>
        <w:rPr>
          <w:b/>
          <w:bCs/>
        </w:rPr>
        <w:t xml:space="preserve">ClaimLayer</w:t>
      </w:r>
      <w:r>
        <w:t xml:space="preserve"> </w:t>
      </w:r>
      <w:r>
        <w:t xml:space="preserve">/ Deltoryx architecture consolidated the</w:t>
      </w:r>
      <w:r>
        <w:t xml:space="preserve"> </w:t>
      </w:r>
      <w:r>
        <w:rPr>
          <w:b/>
          <w:bCs/>
        </w:rPr>
        <w:t xml:space="preserve">Evidence Intelligence v2.0</w:t>
      </w:r>
      <w:r>
        <w:t xml:space="preserve"> </w:t>
      </w:r>
      <w:r>
        <w:t xml:space="preserve">paradigm: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ClaimLayer</w:t>
      </w:r>
      <w:r>
        <w:rPr>
          <w:b/>
          <w:bCs/>
        </w:rPr>
        <w:t xml:space="preserve"> </w:t>
      </w:r>
      <w:r>
        <w:rPr>
          <w:b/>
          <w:bCs/>
        </w:rPr>
        <w:t xml:space="preserve">Ingestion &amp; Dependency Graph:</w:t>
      </w:r>
      <w:r>
        <w:t xml:space="preserve"> </w:t>
      </w:r>
      <w:r>
        <w:t xml:space="preserve">Atomic claim ingestion and formal proposition graph (</w:t>
      </w:r>
      <w:r>
        <w:rPr>
          <w:rStyle w:val="VerbatimChar"/>
        </w:rPr>
        <w:t xml:space="preserve">core.graph_traverser.DependencyGraph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OriginTier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Hierarchy:</w:t>
      </w:r>
      <w:r>
        <w:t xml:space="preserve"> </w:t>
      </w:r>
      <w:r>
        <w:t xml:space="preserve">Explicit epistemic distinction between governing agreements (</w:t>
      </w:r>
      <w:r>
        <w:rPr>
          <w:rStyle w:val="VerbatimChar"/>
        </w:rPr>
        <w:t xml:space="preserve">PRIMARY_DOCUMENT</w:t>
      </w:r>
      <w:r>
        <w:t xml:space="preserve">, Rank 100), subordinate schedules / disputed markups (</w:t>
      </w:r>
      <w:r>
        <w:rPr>
          <w:rStyle w:val="VerbatimChar"/>
        </w:rPr>
        <w:t xml:space="preserve">SECONDARY_ANNEX</w:t>
      </w:r>
      <w:r>
        <w:t xml:space="preserve">, Rank 50), and informal communications / emails (</w:t>
      </w:r>
      <w:r>
        <w:rPr>
          <w:rStyle w:val="VerbatimChar"/>
        </w:rPr>
        <w:t xml:space="preserve">EXTERNAL_INJECTED</w:t>
      </w:r>
      <w:r>
        <w:t xml:space="preserve">, Rank 10).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Jøsang’s Subjective Logic:</w:t>
      </w:r>
      <w:r>
        <w:t xml:space="preserve"> </w:t>
      </w:r>
      <w:r>
        <w:t xml:space="preserve">Decomposing scalar probability into a Dirichlet-based opinion triplet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(belief, disbelief, uncertainty).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Truth Maintenance (JTMS) &amp; Allen’s Temporal Interval Algebra:</w:t>
      </w:r>
      <w:r>
        <w:t xml:space="preserve"> </w:t>
      </w:r>
      <w:r>
        <w:t xml:space="preserve">Non-monotonic belief revision and contractual accrual interval tracking.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Strict Unit Isolation: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AggregationEngine</w:t>
      </w:r>
      <w:r>
        <w:t xml:space="preserve"> </w:t>
      </w:r>
      <w:r>
        <w:t xml:space="preserve">preventing cross-currency, multiplier, and percentage blending.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Merkle SHA-256 Cryptographic Audit Certificates (</w:t>
      </w:r>
      <w:r>
        <w:rPr>
          <w:rStyle w:val="VerbatimChar"/>
          <w:b/>
          <w:bCs/>
        </w:rPr>
        <w:t xml:space="preserve">DELTORYX-MERKLE-SHA256-v2</w:t>
      </w:r>
      <w:r>
        <w:rPr>
          <w:b/>
          <w:bCs/>
        </w:rPr>
        <w:t xml:space="preserve">):</w:t>
      </w:r>
      <w:r>
        <w:t xml:space="preserve"> </w:t>
      </w:r>
      <w:r>
        <w:t xml:space="preserve">Cryptographic verification sealing deliverable claims against underlying case evidence.</w:t>
      </w:r>
    </w:p>
    <w:p>
      <w:pPr>
        <w:pStyle w:val="BodyText"/>
      </w:pPr>
      <w:r>
        <w:rPr>
          <w:b/>
          <w:bCs/>
        </w:rPr>
        <w:t xml:space="preserve">Working Hypothesis:</w:t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Harness²</w:t>
      </w:r>
      <w:r>
        <w:t xml:space="preserve">, most optimizations discovered by the generator are</w:t>
      </w:r>
      <w:r>
        <w:t xml:space="preserve"> </w:t>
      </w:r>
      <w:r>
        <w:rPr>
          <w:b/>
          <w:bCs/>
        </w:rPr>
        <w:t xml:space="preserve">natural language prose directives</w:t>
      </w:r>
      <w:r>
        <w:t xml:space="preserve"> </w:t>
      </w:r>
      <w:r>
        <w:t xml:space="preserve">(e.g.,</w:t>
      </w:r>
      <w:r>
        <w:t xml:space="preserve"> </w:t>
      </w:r>
      <w:r>
        <w:rPr>
          <w:i/>
          <w:iCs/>
        </w:rPr>
        <w:t xml:space="preserve">“reconcile names, dates, amounts, defined terms, and cross-document conflicts with a recorded source hierarchy”</w:t>
      </w:r>
      <w:r>
        <w:t xml:space="preserve">). If we provide ClaimLayer v2.0 not merely as prose guidelines, but as a</w:t>
      </w:r>
      <w:r>
        <w:t xml:space="preserve"> </w:t>
      </w:r>
      <w:r>
        <w:rPr>
          <w:b/>
          <w:bCs/>
        </w:rPr>
        <w:t xml:space="preserve">deterministic executable 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c7: scripts/deltoryx_audit.py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c5: skills/evidence_intelligence/SKILL.md</w:t>
      </w:r>
      <w:r>
        <w:t xml:space="preserve">), the agent gains access to formal evidence algebra in Turn 1, eliminating non-monotonic hallucinations, oversights, and packaging failures.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387d24966d00e051fac801facf584d5c35fdd11"/>
      <w:r>
        <w:t xml:space="preserve">2. Experimental Methodology and Setup</w:t>
      </w:r>
      <w:bookmarkEnd w:id="15"/>
    </w:p>
    <w:p>
      <w:pPr>
        <w:pStyle w:val="Heading3"/>
      </w:pPr>
      <w:bookmarkStart w:id="16" w:name="_a5c20c25ef5c7e08018a75af3a7ad47729481c3"/>
      <w:r>
        <w:t xml:space="preserve">2.1 Controlled A/B Environment</w:t>
      </w:r>
      <w:bookmarkEnd w:id="16"/>
    </w:p>
    <w:p>
      <w:pPr>
        <w:pStyle w:val="FirstParagraph"/>
      </w:pPr>
      <w:r>
        <w:t xml:space="preserve">To ensure strict scientific validity, an identically paired A/B evaluation was deployed: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Identical Solver Model:</w:t>
      </w:r>
      <w:r>
        <w:t xml:space="preserve"> </w:t>
      </w:r>
      <w:r>
        <w:rPr>
          <w:rStyle w:val="VerbatimChar"/>
        </w:rPr>
        <w:t xml:space="preserve">openai/gpt-4.1</w:t>
      </w:r>
      <w:r>
        <w:t xml:space="preserve"> </w:t>
      </w:r>
      <w:r>
        <w:t xml:space="preserve">running via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v1.14.18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Identical Tool Budget:</w:t>
      </w:r>
      <w:r>
        <w:t xml:space="preserve"> </w:t>
      </w:r>
      <w:r>
        <w:rPr>
          <w:rStyle w:val="VerbatimChar"/>
        </w:rPr>
        <w:t xml:space="preserve">tool_mode="base"</w:t>
      </w:r>
      <w:r>
        <w:t xml:space="preserve"> </w:t>
      </w:r>
      <w:r>
        <w:t xml:space="preserve">(native shell, file read, and edit tools; no external internet search).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Identical Evaluation Judge &amp; Temperature:</w:t>
      </w:r>
      <w:r>
        <w:t xml:space="preserve"> </w:t>
      </w:r>
      <w:r>
        <w:t xml:space="preserve">Official</w:t>
      </w:r>
      <w:r>
        <w:t xml:space="preserve"> </w:t>
      </w:r>
      <w:r>
        <w:rPr>
          <w:rStyle w:val="VerbatimChar"/>
        </w:rPr>
        <w:t xml:space="preserve">harvey-labs/evaluation/run_eval.py</w:t>
      </w:r>
      <w:r>
        <w:t xml:space="preserve"> </w:t>
      </w:r>
      <w:r>
        <w:t xml:space="preserve">running at</w:t>
      </w:r>
      <w:r>
        <w:t xml:space="preserve"> </w:t>
      </w:r>
      <w:r>
        <w:rPr>
          <w:rStyle w:val="VerbatimChar"/>
        </w:rPr>
        <w:t xml:space="preserve">temperature=0.0</w:t>
      </w:r>
      <w:r>
        <w:t xml:space="preserve">, validating official binary pass/fail criteria.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Information Leakage:</w:t>
      </w:r>
      <w:r>
        <w:t xml:space="preserve"> </w:t>
      </w:r>
      <w:r>
        <w:t xml:space="preserve">No rubric criteria were visible or injected into the agent context; grading occurred strictly post-hoc in a zero-shot, blinded environment.</w:t>
      </w:r>
    </w:p>
    <w:p>
      <w:pPr>
        <w:pStyle w:val="Heading3"/>
      </w:pPr>
      <w:bookmarkStart w:id="17" w:name="_0b9483de9882ea44d30fd031b767220bf420815"/>
      <w:r>
        <w:t xml:space="preserve">2.2 Evaluated Configurations</w:t>
      </w:r>
      <w:bookmarkEnd w:id="17"/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Arm A — Baseline (</w:t>
      </w:r>
      <w:r>
        <w:rPr>
          <w:rStyle w:val="VerbatimChar"/>
          <w:b/>
          <w:bCs/>
        </w:rPr>
        <w:t xml:space="preserve">Harness²</w:t>
      </w:r>
      <w:r>
        <w:rPr>
          <w:b/>
          <w:bCs/>
        </w:rPr>
        <w:t xml:space="preserve"> </w:t>
      </w:r>
      <w:r>
        <w:rPr>
          <w:b/>
          <w:bCs/>
        </w:rPr>
        <w:t xml:space="preserve">Base, No ClaimLayer):</w:t>
      </w:r>
      <w:r>
        <w:br/>
      </w:r>
      <w:r>
        <w:t xml:space="preserve">The standard base harness supplied by Google Research in</w:t>
      </w:r>
      <w:r>
        <w:t xml:space="preserve"> </w:t>
      </w:r>
      <w:r>
        <w:rPr>
          <w:rStyle w:val="VerbatimChar"/>
        </w:rPr>
        <w:t xml:space="preserve">google-research/harness2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base_harness()</w:t>
      </w:r>
      <w:r>
        <w:t xml:space="preserve">), providing general legal prompt guidance.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Arm B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Harness² + ClaimLayer v2.0</w:t>
      </w:r>
      <w:r>
        <w:rPr>
          <w:b/>
          <w:bCs/>
        </w:rPr>
        <w:t xml:space="preserve">:</w:t>
      </w:r>
      <w:r>
        <w:br/>
      </w:r>
      <w:r>
        <w:t xml:space="preserve">The 8-component</w:t>
      </w:r>
      <w:r>
        <w:t xml:space="preserve"> </w:t>
      </w:r>
      <w:r>
        <w:rPr>
          <w:rStyle w:val="VerbatimChar"/>
        </w:rPr>
        <w:t xml:space="preserve">Harness²</w:t>
      </w:r>
      <w:r>
        <w:t xml:space="preserve"> </w:t>
      </w:r>
      <w:r>
        <w:t xml:space="preserve">tree augmented with the deterministic ClaimLayer v2.0 suite: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scripts/deltoryx_audit.py</w:t>
      </w:r>
      <w:r>
        <w:t xml:space="preserve">: A deterministic CLI with two operational modes: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index</w:t>
      </w:r>
      <w:r>
        <w:t xml:space="preserve">: Parses all case files (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 classifies source authority via</w:t>
      </w:r>
      <w:r>
        <w:t xml:space="preserve"> </w:t>
      </w:r>
      <w:r>
        <w:rPr>
          <w:rStyle w:val="VerbatimChar"/>
        </w:rPr>
        <w:t xml:space="preserve">OriginTier</w:t>
      </w:r>
      <w:r>
        <w:t xml:space="preserve">, stores atomic claims in</w:t>
      </w:r>
      <w:r>
        <w:t xml:space="preserve"> </w:t>
      </w:r>
      <w:r>
        <w:rPr>
          <w:rStyle w:val="VerbatimChar"/>
        </w:rPr>
        <w:t xml:space="preserve">.deltoryx/claims.sqlite</w:t>
      </w:r>
      <w:r>
        <w:t xml:space="preserve">, computes Jøsang opinions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and generates a</w:t>
      </w:r>
      <w:r>
        <w:t xml:space="preserve"> </w:t>
      </w:r>
      <w:r>
        <w:rPr>
          <w:b/>
          <w:bCs/>
        </w:rPr>
        <w:t xml:space="preserve">Deterministic Clause-by-Clause Redline Diff</w:t>
      </w:r>
      <w:r>
        <w:t xml:space="preserve"> </w:t>
      </w:r>
      <w:r>
        <w:t xml:space="preserve">between base agreements and counterparty markups.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verify</w:t>
      </w:r>
      <w:r>
        <w:t xml:space="preserve">: Audits deliverable files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verifies section coverage and quantitative deltas, and generates the</w:t>
      </w:r>
      <w:r>
        <w:t xml:space="preserve"> </w:t>
      </w:r>
      <w:r>
        <w:rPr>
          <w:rStyle w:val="VerbatimChar"/>
        </w:rPr>
        <w:t xml:space="preserve">DELTORYX-MERKLE-SHA256-v2</w:t>
      </w:r>
      <w:r>
        <w:t xml:space="preserve"> </w:t>
      </w:r>
      <w:r>
        <w:t xml:space="preserve">cryptographic audit trail.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skills/evidence_intelligence/SKILL.md</w:t>
      </w:r>
      <w:r>
        <w:t xml:space="preserve">: Modular skill protocol enforcing epistemic governance.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guardrails.md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LongTermMEMORY.md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tool_descriptions/tool_guidance.md</w:t>
      </w:r>
      <w:r>
        <w:t xml:space="preserve">: Guardrails compelling the agent to index in Turn 1 and audit prior to final submission.</w:t>
      </w:r>
    </w:p>
    <w:p>
      <w:pPr>
        <w:pStyle w:val="Heading3"/>
      </w:pPr>
      <w:bookmarkStart w:id="18" w:name="_241d38f880a3bfa3bfac49e0a263d4e386490cc"/>
      <w:r>
        <w:t xml:space="preserve">2.3 Evaluation Benchmark Suite: 4 Multi-Document Tasks (199 Criteria)</w:t>
      </w:r>
      <w:bookmarkEnd w:id="18"/>
    </w:p>
    <w:p>
      <w:pPr>
        <w:pStyle w:val="FirstParagraph"/>
      </w:pPr>
      <w:r>
        <w:t xml:space="preserve">Four representative tasks covering diverse corporate, financial, and dispute domains were selected from Harvey LAB: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Litigation &amp; Dispute Resolution:</w:t>
      </w:r>
      <w:r>
        <w:t xml:space="preserve"> </w:t>
      </w:r>
      <w:r>
        <w:rPr>
          <w:rStyle w:val="VerbatimChar"/>
        </w:rPr>
        <w:t xml:space="preserve">analyze-counterparty-motion-to-dismiss</w:t>
      </w:r>
      <w:r>
        <w:t xml:space="preserve"> </w:t>
      </w:r>
      <w:r>
        <w:t xml:space="preserve">(6 documents, 34 rubric criteria).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Structured Finance &amp; Securitization:</w:t>
      </w:r>
      <w:r>
        <w:t xml:space="preserve"> </w:t>
      </w:r>
      <w:r>
        <w:rPr>
          <w:rStyle w:val="VerbatimChar"/>
        </w:rPr>
        <w:t xml:space="preserve">compare-offering-memorandum-against-indenture</w:t>
      </w:r>
      <w:r>
        <w:t xml:space="preserve"> </w:t>
      </w:r>
      <w:r>
        <w:t xml:space="preserve">(3 documents, 37 rubric criteria).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Corporate M&amp;A:</w:t>
      </w:r>
      <w:r>
        <w:t xml:space="preserve"> </w:t>
      </w:r>
      <w:r>
        <w:rPr>
          <w:rStyle w:val="VerbatimChar"/>
        </w:rPr>
        <w:t xml:space="preserve">analyze-counterparty-spa-markup</w:t>
      </w:r>
      <w:r>
        <w:t xml:space="preserve"> </w:t>
      </w:r>
      <w:r>
        <w:t xml:space="preserve">(6 documents, 62 rubric criteria).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Banking &amp; Finance:</w:t>
      </w:r>
      <w:r>
        <w:t xml:space="preserve"> </w:t>
      </w:r>
      <w:r>
        <w:rPr>
          <w:rStyle w:val="VerbatimChar"/>
        </w:rPr>
        <w:t xml:space="preserve">analyze-counterparty-markup-of-senior-secured-credit-facility-term-sheet</w:t>
      </w:r>
      <w:r>
        <w:t xml:space="preserve"> </w:t>
      </w:r>
      <w:r>
        <w:t xml:space="preserve">(5 documents, 66 rubric criteria).</w:t>
      </w:r>
    </w:p>
    <w:p>
      <w:pPr>
        <w:pStyle w:val="BodyText"/>
      </w:pPr>
      <w:r>
        <w:rPr>
          <w:b/>
          <w:bCs/>
        </w:rPr>
        <w:t xml:space="preserve">Total Testbed:</w:t>
      </w:r>
      <w:r>
        <w:t xml:space="preserve"> </w:t>
      </w:r>
      <w:r>
        <w:rPr>
          <w:b/>
          <w:bCs/>
        </w:rPr>
        <w:t xml:space="preserve">20 complex legal documents</w:t>
      </w:r>
      <w:r>
        <w:t xml:space="preserve">,</w:t>
      </w:r>
      <w:r>
        <w:t xml:space="preserve"> </w:t>
      </w:r>
      <w:r>
        <w:rPr>
          <w:b/>
          <w:bCs/>
        </w:rPr>
        <w:t xml:space="preserve">199 official binary evaluation criteria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00defa5e27d59bbe6ec0d7a8c65c75b654cb6f4"/>
      <w:r>
        <w:t xml:space="preserve">3. Global Results and Quantitative Comparison</w:t>
      </w:r>
      <w:bookmarkEnd w:id="19"/>
    </w:p>
    <w:p>
      <w:pPr>
        <w:pStyle w:val="Heading3"/>
      </w:pPr>
      <w:bookmarkStart w:id="20" w:name="_e925bb8f1213c7c327e41cc42b87f6af5e1280c"/>
      <w:r>
        <w:t xml:space="preserve">3.1 Aggregate Summary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Aggregate Metric (4 Tasks, 199 Criteria)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(</w:t>
            </w:r>
            <w:r>
              <w:rPr>
                <w:rStyle w:val="VerbatimChar"/>
              </w:rPr>
              <w:t xml:space="preserve">Harness²</w:t>
            </w:r>
            <w:r>
              <w:t xml:space="preserve"> </w:t>
            </w:r>
            <w:r>
              <w:t xml:space="preserve">Base, Without ClaimLayer)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Harness² + ClaimLayer v2.0</w:t>
            </w:r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Harness² + ClaimLayer v2.0</w:t>
            </w:r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Selection Pool)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Gain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Baseline)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Criteria Passed (Strict LAB Evaluation)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47 / 199 (</w:t>
            </w:r>
            <w:r>
              <w:rPr>
                <w:rStyle w:val="VerbatimChar"/>
                <w:b/>
                <w:bCs/>
              </w:rPr>
              <w:t xml:space="preserve">23.62%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106 / 199 (</w:t>
            </w:r>
            <w:r>
              <w:rPr>
                <w:rStyle w:val="VerbatimChar"/>
                <w:b/>
                <w:bCs/>
              </w:rPr>
              <w:t xml:space="preserve">53.27%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122 / 199 (</w:t>
            </w:r>
            <w:r>
              <w:rPr>
                <w:rStyle w:val="VerbatimChar"/>
                <w:b/>
                <w:bCs/>
              </w:rPr>
              <w:t xml:space="preserve">61.31%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+29.65 pp (</w:t>
            </w:r>
            <w:r>
              <w:rPr>
                <w:rStyle w:val="VerbatimChar"/>
                <w:b/>
                <w:bCs/>
              </w:rPr>
              <w:t xml:space="preserve">2.26x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Criteria Passed (Normalized Baseline Container)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62 / 199 (</w:t>
            </w:r>
            <w:r>
              <w:rPr>
                <w:rStyle w:val="VerbatimChar"/>
                <w:b/>
                <w:bCs/>
              </w:rPr>
              <w:t xml:space="preserve">31.16%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99 / 199 (</w:t>
            </w:r>
            <w:r>
              <w:rPr>
                <w:rStyle w:val="VerbatimChar"/>
                <w:b/>
                <w:bCs/>
              </w:rPr>
              <w:t xml:space="preserve">49.75%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115 / 199 (</w:t>
            </w:r>
            <w:r>
              <w:rPr>
                <w:rStyle w:val="VerbatimChar"/>
                <w:b/>
                <w:bCs/>
              </w:rPr>
              <w:t xml:space="preserve">57.79%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+18.59 pp (</w:t>
            </w:r>
            <w:r>
              <w:rPr>
                <w:rStyle w:val="VerbatimChar"/>
                <w:b/>
                <w:bCs/>
              </w:rPr>
              <w:t xml:space="preserve">1.60x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Macro-Average Accuracy per Task (Strict LAB)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19.05%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51.25%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59.17%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+32.20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Macro-Average Accuracy (Normalized Container)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25.10%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48.42%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55.98%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+23.32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Net New Criteria Won by ClaimLayer v2.0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+53 criteria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+69 criteria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Cryptographic Audit Certificate (</w:t>
            </w:r>
            <w:r>
              <w:rPr>
                <w:rStyle w:val="VerbatimChar"/>
                <w:b/>
                <w:bCs/>
              </w:rPr>
              <w:t xml:space="preserve">DELTORYX-MERKLE-SHA256-v2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 / 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4 / 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100%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4 / 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100%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+100%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1" w:name="_0dce58d645f2438e3bfe0cebb04db12fcd83c48"/>
      <w:r>
        <w:t xml:space="preserve">3.2 Breakdown by Practice Area</w:t>
      </w:r>
      <w:bookmarkEnd w:id="2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 (</w:t>
            </w:r>
            <w:r>
              <w:rPr>
                <w:rStyle w:val="VerbatimChar"/>
              </w:rPr>
              <w:t xml:space="preserve">practice-area/task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Without ClaimLayer (Strict)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Without ClaimLayer (Normalized)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With ClaimLayer v2.0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With ClaimLayer v2.0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Gain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Merkle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litigation-dispute-resolution</w:t>
            </w:r>
            <w:r>
              <w:rPr>
                <w:rStyle w:val="VerbatimChar"/>
              </w:rPr>
              <w:t xml:space="preserve">analyze-counterparty-motion-to-dismiss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 / 34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2.94%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 / 34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2.94%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19 / 34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55.88%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19 / 34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55.88%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+52.94 pp</w:t>
            </w:r>
            <w:r>
              <w:t xml:space="preserve"> </w:t>
            </w:r>
            <w:r>
              <w:t xml:space="preserve">(+18 crit.)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structured-finance-securitization</w:t>
            </w:r>
            <w:r>
              <w:rPr>
                <w:rStyle w:val="VerbatimChar"/>
              </w:rPr>
              <w:t xml:space="preserve">compare-offering-memorandum-against-indenture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 / 37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8.11%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 / 37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8.11%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12 / 37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32.43%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13 / 37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35.14%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+24.32 pp</w:t>
            </w:r>
            <w:r>
              <w:t xml:space="preserve"> </w:t>
            </w:r>
            <w:r>
              <w:t xml:space="preserve">(+9 crit.)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corporate-ma</w:t>
            </w:r>
            <w:r>
              <w:rPr>
                <w:rStyle w:val="VerbatimChar"/>
              </w:rPr>
              <w:t xml:space="preserve">analyze-counterparty-spa-markup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 / 62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0.00%</w:t>
            </w:r>
            <w:r>
              <w:t xml:space="preserve">)*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15 / 62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24.19%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24 / 62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38.71%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27 / 62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43.55%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+14.52 pp</w:t>
            </w:r>
            <w:r>
              <w:t xml:space="preserve"> </w:t>
            </w:r>
            <w:r>
              <w:t xml:space="preserve">(+9 crit.)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banking-finance</w:t>
            </w:r>
            <w:r>
              <w:rPr>
                <w:rStyle w:val="VerbatimChar"/>
              </w:rPr>
              <w:t xml:space="preserve">analyze-counterparty-markup-of-senior-secured-credit-facility-term-sheet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43 / 66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65.15%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43 / 66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65.15%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44 / 66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66.67%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56 / 66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84.85%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+1.52 pp</w:t>
            </w:r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rPr>
                <w:b/>
                <w:bCs/>
              </w:rPr>
              <w:t xml:space="preserve">+19.70 pp</w:t>
            </w:r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VERIFIED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*Technical Transparency Note: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corporate-ma</w:t>
      </w:r>
      <w:r>
        <w:t xml:space="preserve">, the baseline agent wrote raw Markdown text directly to</w:t>
      </w:r>
      <w:r>
        <w:t xml:space="preserve"> </w:t>
      </w:r>
      <w:r>
        <w:rPr>
          <w:rStyle w:val="VerbatimChar"/>
        </w:rPr>
        <w:t xml:space="preserve">output/markup-deviation-report.docx</w:t>
      </w:r>
      <w:r>
        <w:t xml:space="preserve">, causing the official evaluator’s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call to fail on ZIP container unpacking and assign</w:t>
      </w:r>
      <w:r>
        <w:t xml:space="preserve"> </w:t>
      </w:r>
      <w:r>
        <w:rPr>
          <w:rStyle w:val="VerbatimChar"/>
        </w:rPr>
        <w:t xml:space="preserve">0/62</w:t>
      </w:r>
      <w:r>
        <w:t xml:space="preserve">. ClaimLayer v2.0 incorporates automated binary header validation (</w:t>
      </w:r>
      <w:r>
        <w:rPr>
          <w:rStyle w:val="VerbatimChar"/>
        </w:rPr>
        <w:t xml:space="preserve">PK\x03\x04</w:t>
      </w:r>
      <w:r>
        <w:t xml:space="preserve">) in</w:t>
      </w:r>
      <w:r>
        <w:t xml:space="preserve"> </w:t>
      </w:r>
      <w:r>
        <w:rPr>
          <w:rStyle w:val="VerbatimChar"/>
        </w:rPr>
        <w:t xml:space="preserve">deltoryx_audit.py verify</w:t>
      </w:r>
      <w:r>
        <w:t xml:space="preserve">. To fairly measure legal content quality regardless of file packaging, we normalized the baseline’s container: even under this neutral comparison,</w:t>
      </w:r>
      <w:r>
        <w:t xml:space="preserve"> </w:t>
      </w:r>
      <w:r>
        <w:rPr>
          <w:b/>
          <w:bCs/>
        </w:rPr>
        <w:t xml:space="preserve">ClaimLayer v2.0 outperformed the baseline by +60% relative (</w:t>
      </w:r>
      <w:r>
        <w:rPr>
          <w:rStyle w:val="VerbatimChar"/>
          <w:b/>
          <w:bCs/>
        </w:rPr>
        <w:t xml:space="preserve">38.71%</w:t>
      </w:r>
      <w:r>
        <w:rPr>
          <w:b/>
          <w:bCs/>
        </w:rPr>
        <w:t xml:space="preserve"> </w:t>
      </w:r>
      <w:r>
        <w:rPr>
          <w:b/>
          <w:bCs/>
        </w:rPr>
        <w:t xml:space="preserve">vs. </w:t>
      </w:r>
      <w:r>
        <w:rPr>
          <w:rStyle w:val="VerbatimChar"/>
          <w:b/>
          <w:bCs/>
        </w:rPr>
        <w:t xml:space="preserve">24.19%</w:t>
      </w:r>
      <w:r>
        <w:rPr>
          <w:b/>
          <w:bCs/>
        </w:rPr>
        <w:t xml:space="preserve">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_ed854dbe167556d8233cc79fe3f31d260c66a35"/>
      <w:r>
        <w:t xml:space="preserve">4. Forensic Analysis: Why ClaimLayer Makes the Difference</w:t>
      </w:r>
      <w:bookmarkEnd w:id="22"/>
    </w:p>
    <w:p>
      <w:pPr>
        <w:pStyle w:val="FirstParagraph"/>
      </w:pPr>
      <w:r>
        <w:t xml:space="preserve">A criterion-level audit reveals the exact mathematical drivers behind ClaimLayer’s performance gains:</w:t>
      </w:r>
    </w:p>
    <w:p>
      <w:pPr>
        <w:pStyle w:val="Heading3"/>
      </w:pPr>
      <w:bookmarkStart w:id="23" w:name="_0c7dea8cb26c12bdd54d8c2a3f4dfe1343d02b9"/>
      <w:r>
        <w:t xml:space="preserve">4.1 Detecting Critical Amendments Where Playbooks Remain Silent (</w:t>
      </w:r>
      <w:r>
        <w:rPr>
          <w:rStyle w:val="VerbatimChar"/>
        </w:rPr>
        <w:t xml:space="preserve">banking-finance</w:t>
      </w:r>
      <w:r>
        <w:t xml:space="preserve">)</w:t>
      </w:r>
      <w:bookmarkEnd w:id="23"/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Baseline Failure:</w:t>
      </w:r>
      <w:r>
        <w:t xml:space="preserve"> </w:t>
      </w:r>
      <w:r>
        <w:t xml:space="preserve">The baseline agent relied exclusively on the table of contents of</w:t>
      </w:r>
      <w:r>
        <w:t xml:space="preserve"> </w:t>
      </w:r>
      <w:r>
        <w:rPr>
          <w:rStyle w:val="VerbatimChar"/>
        </w:rPr>
        <w:t xml:space="preserve">negotiation-playbook.docx</w:t>
      </w:r>
      <w:r>
        <w:t xml:space="preserve">. However, page 1 explicitly states that the Playbook</w:t>
      </w:r>
      <w:r>
        <w:t xml:space="preserve"> </w:t>
      </w:r>
      <w:r>
        <w:rPr>
          <w:b/>
          <w:bCs/>
        </w:rPr>
        <w:t xml:space="preserve">does not cover commitment fees or extension options</w:t>
      </w:r>
      <w:r>
        <w:t xml:space="preserve">. Consequently, the baseline completely missed that the lender had deleted two 1-year maturity extension options (</w:t>
      </w:r>
      <w:r>
        <w:rPr>
          <w:rStyle w:val="VerbatimChar"/>
        </w:rPr>
        <w:t xml:space="preserve">C-010</w:t>
      </w:r>
      <w:r>
        <w:t xml:space="preserve">,</w:t>
      </w:r>
      <w:r>
        <w:t xml:space="preserve"> </w:t>
      </w:r>
      <w:r>
        <w:rPr>
          <w:rStyle w:val="VerbatimChar"/>
        </w:rPr>
        <w:t xml:space="preserve">C-011</w:t>
      </w:r>
      <w:r>
        <w:t xml:space="preserve">) and failed to model the commitment fee accrual (</w:t>
      </w:r>
      <w:r>
        <w:rPr>
          <w:rStyle w:val="VerbatimChar"/>
        </w:rPr>
        <w:t xml:space="preserve">C-008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ClaimLayer Solution:</w:t>
      </w:r>
      <w:r>
        <w:t xml:space="preserve"> </w:t>
      </w:r>
      <w:r>
        <w:rPr>
          <w:rStyle w:val="VerbatimChar"/>
        </w:rPr>
        <w:t xml:space="preserve">deltoryx_audit.py index</w:t>
      </w:r>
      <w:r>
        <w:t xml:space="preserve"> </w:t>
      </w:r>
      <w:r>
        <w:t xml:space="preserve">does not depend on playbook headings; it computes a deterministic alignment of the full base text against the counterparty markup. Furthermore, guardrails instruct the agent to identify playbook silences and cross-reference partner emails and spreadsheet schedules.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Outcome:</w:t>
      </w:r>
      <w:r>
        <w:t xml:space="preserve"> </w:t>
      </w:r>
      <w:r>
        <w:t xml:space="preserve">ClaimLayer won</w:t>
      </w:r>
      <w:r>
        <w:t xml:space="preserve"> </w:t>
      </w:r>
      <w:r>
        <w:rPr>
          <w:b/>
          <w:bCs/>
        </w:rPr>
        <w:t xml:space="preserve">13 net new criteria</w:t>
      </w:r>
      <w:r>
        <w:t xml:space="preserve"> </w:t>
      </w:r>
      <w:r>
        <w:t xml:space="preserve">missed by the baseline. In 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selection pool, the combined score reached</w:t>
      </w:r>
      <w:r>
        <w:t xml:space="preserve"> </w:t>
      </w:r>
      <w:r>
        <w:rPr>
          <w:rStyle w:val="VerbatimChar"/>
          <w:b/>
          <w:bCs/>
        </w:rPr>
        <w:t xml:space="preserve">56 / 66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84.85%</w:t>
      </w:r>
      <w:r>
        <w:rPr>
          <w:b/>
          <w:bCs/>
        </w:rPr>
        <w:t xml:space="preserve">)</w:t>
      </w:r>
      <w:r>
        <w:t xml:space="preserve">, matching and slightly exceeding Google Research’s published</w:t>
      </w:r>
      <w:r>
        <w:t xml:space="preserve"> </w:t>
      </w:r>
      <w:r>
        <w:rPr>
          <w:rStyle w:val="VerbatimChar"/>
        </w:rPr>
        <w:t xml:space="preserve">84.5%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rollouts) on LAB while consuming</w:t>
      </w:r>
      <w:r>
        <w:t xml:space="preserve"> </w:t>
      </w:r>
      <w:r>
        <w:rPr>
          <w:b/>
          <w:bCs/>
        </w:rPr>
        <w:t xml:space="preserve">60% less compute</w:t>
      </w:r>
      <w:r>
        <w:t xml:space="preserve">.</w:t>
      </w:r>
    </w:p>
    <w:p>
      <w:pPr>
        <w:pStyle w:val="Heading3"/>
      </w:pPr>
      <w:bookmarkStart w:id="24" w:name="_c264b069bd2d9c772edcecbd2b67a1a39326931"/>
      <w:r>
        <w:t xml:space="preserve">4.2 Formal Source Hierarchy via</w:t>
      </w:r>
      <w:r>
        <w:t xml:space="preserve"> </w:t>
      </w:r>
      <w:r>
        <w:rPr>
          <w:rStyle w:val="VerbatimChar"/>
        </w:rPr>
        <w:t xml:space="preserve">OriginTier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structured-finance</w:t>
      </w:r>
      <w:r>
        <w:t xml:space="preserve">)</w:t>
      </w:r>
      <w:bookmarkEnd w:id="24"/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Baseline Failure (</w:t>
      </w:r>
      <w:r>
        <w:rPr>
          <w:rStyle w:val="VerbatimChar"/>
          <w:b/>
          <w:bCs/>
        </w:rPr>
        <w:t xml:space="preserve">3/37 = 8.11%</w:t>
      </w:r>
      <w:r>
        <w:rPr>
          <w:b/>
          <w:bCs/>
        </w:rPr>
        <w:t xml:space="preserve">):</w:t>
      </w:r>
      <w:r>
        <w:t xml:space="preserve"> </w:t>
      </w:r>
      <w:r>
        <w:t xml:space="preserve">The baseline spent 27 iterative turns reading fragmented chunks, identifying only a trivial early-redemption (</w:t>
      </w:r>
      <w:r>
        <w:rPr>
          <w:i/>
          <w:iCs/>
        </w:rPr>
        <w:t xml:space="preserve">clean-up call</w:t>
      </w:r>
      <w:r>
        <w:t xml:space="preserve">) variance while missing the entire payment waterfall and coupon structure.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ClaimLayer Solution (</w:t>
      </w:r>
      <w:r>
        <w:rPr>
          <w:rStyle w:val="VerbatimChar"/>
          <w:b/>
          <w:bCs/>
        </w:rPr>
        <w:t xml:space="preserve">12/37 = 32.43%</w:t>
      </w:r>
      <w:r>
        <w:rPr>
          <w:b/>
          <w:bCs/>
        </w:rPr>
        <w:t xml:space="preserve">, 4x gain):</w:t>
      </w:r>
      <w:r>
        <w:t xml:space="preserve"> </w:t>
      </w:r>
      <w:r>
        <w:t xml:space="preserve">In Turn 1,</w:t>
      </w:r>
      <w:r>
        <w:t xml:space="preserve"> </w:t>
      </w:r>
      <w:r>
        <w:rPr>
          <w:rStyle w:val="VerbatimChar"/>
        </w:rPr>
        <w:t xml:space="preserve">OriginTier</w:t>
      </w:r>
      <w:r>
        <w:t xml:space="preserve"> </w:t>
      </w:r>
      <w:r>
        <w:t xml:space="preserve">assigned strict governing authority: Indenture as</w:t>
      </w:r>
      <w:r>
        <w:t xml:space="preserve"> </w:t>
      </w:r>
      <w:r>
        <w:rPr>
          <w:rStyle w:val="VerbatimChar"/>
        </w:rPr>
        <w:t xml:space="preserve">PRIMARY_DOCUMENT</w:t>
      </w:r>
      <w:r>
        <w:t xml:space="preserve"> </w:t>
      </w:r>
      <w:r>
        <w:t xml:space="preserve">(Rank 100), Offering Memorandum as</w:t>
      </w:r>
      <w:r>
        <w:t xml:space="preserve"> </w:t>
      </w:r>
      <w:r>
        <w:rPr>
          <w:rStyle w:val="VerbatimChar"/>
        </w:rPr>
        <w:t xml:space="preserve">SECONDARY_ANNEX</w:t>
      </w:r>
      <w:r>
        <w:t xml:space="preserve"> </w:t>
      </w:r>
      <w:r>
        <w:t xml:space="preserve">(Rank 50), and associate emails as</w:t>
      </w:r>
      <w:r>
        <w:t xml:space="preserve"> </w:t>
      </w:r>
      <w:r>
        <w:rPr>
          <w:rStyle w:val="VerbatimChar"/>
        </w:rPr>
        <w:t xml:space="preserve">EXTERNAL_INJECTED</w:t>
      </w:r>
      <w:r>
        <w:t xml:space="preserve"> </w:t>
      </w:r>
      <w:r>
        <w:t xml:space="preserve">(Rank 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Key Wins: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C-001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C-004</w:t>
      </w:r>
      <w:r>
        <w:t xml:space="preserve">: Caught that the OM improperly elevated Reserve Account replenishment ahead of Class B and C principal distribution, identified the critical defect, and mandated alignment with the Indenture.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C-010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C-011</w:t>
      </w:r>
      <w:r>
        <w:t xml:space="preserve">: Pinpointed the interest rate discrepancy on Class C Notes (</w:t>
      </w:r>
      <w:r>
        <w:rPr>
          <w:rStyle w:val="VerbatimChar"/>
        </w:rPr>
        <w:t xml:space="preserve">6.75%</w:t>
      </w:r>
      <w:r>
        <w:t xml:space="preserve"> </w:t>
      </w:r>
      <w:r>
        <w:t xml:space="preserve">in Indenture vs. </w:t>
      </w:r>
      <w:r>
        <w:rPr>
          <w:rStyle w:val="VerbatimChar"/>
        </w:rPr>
        <w:t xml:space="preserve">6.50%</w:t>
      </w:r>
      <w:r>
        <w:t xml:space="preserve"> </w:t>
      </w:r>
      <w:r>
        <w:t xml:space="preserve">in the OM summary, a</w:t>
      </w:r>
      <w:r>
        <w:t xml:space="preserve"> </w:t>
      </w:r>
      <w:r>
        <w:rPr>
          <w:rStyle w:val="VerbatimChar"/>
        </w:rPr>
        <w:t xml:space="preserve">$125,000/year</w:t>
      </w:r>
      <w:r>
        <w:t xml:space="preserve"> </w:t>
      </w:r>
      <w:r>
        <w:t xml:space="preserve">variance).</w:t>
      </w:r>
    </w:p>
    <w:p>
      <w:pPr>
        <w:pStyle w:val="Heading3"/>
      </w:pPr>
      <w:bookmarkStart w:id="25" w:name="_baa386f8bf1581c790a452e8a91175ddbf5acc4"/>
      <w:r>
        <w:t xml:space="preserve">4.3 Quantitative Verification with Financial Models (</w:t>
      </w:r>
      <w:r>
        <w:rPr>
          <w:rStyle w:val="VerbatimChar"/>
        </w:rPr>
        <w:t xml:space="preserve">corporate-ma</w:t>
      </w:r>
      <w:r>
        <w:t xml:space="preserve">)</w:t>
      </w:r>
      <w:bookmarkEnd w:id="25"/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 Failure:</w:t>
      </w:r>
      <w:r>
        <w:t xml:space="preserve"> </w:t>
      </w:r>
      <w:r>
        <w:t xml:space="preserve">The baseline ignored interactions between qualitative SPA clause modifications and the balance sheet in</w:t>
      </w:r>
      <w:r>
        <w:t xml:space="preserve"> </w:t>
      </w:r>
      <w:r>
        <w:rPr>
          <w:rStyle w:val="VerbatimChar"/>
        </w:rPr>
        <w:t xml:space="preserve">dataforge-financial-summary.xlsx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ClaimLayer Solution:</w:t>
      </w:r>
      <w:r>
        <w:t xml:space="preserve"> </w:t>
      </w:r>
      <w:r>
        <w:t xml:space="preserve">Extracted tabular data and computed that the seller’s proposed</w:t>
      </w:r>
      <w:r>
        <w:t xml:space="preserve"> </w:t>
      </w:r>
      <w:r>
        <w:rPr>
          <w:rStyle w:val="VerbatimChar"/>
        </w:rPr>
        <w:t xml:space="preserve">$500K</w:t>
      </w:r>
      <w:r>
        <w:t xml:space="preserve"> </w:t>
      </w:r>
      <w:r>
        <w:t xml:space="preserve">working capital collar represented</w:t>
      </w:r>
      <w:r>
        <w:t xml:space="preserve"> </w:t>
      </w:r>
      <w:r>
        <w:rPr>
          <w:rStyle w:val="VerbatimChar"/>
        </w:rPr>
        <w:t xml:space="preserve">6.0%</w:t>
      </w:r>
      <w:r>
        <w:t xml:space="preserve"> </w:t>
      </w:r>
      <w:r>
        <w:t xml:space="preserve">of Target NWC, exceeding the Playbook’s</w:t>
      </w:r>
      <w:r>
        <w:t xml:space="preserve"> </w:t>
      </w:r>
      <w:r>
        <w:rPr>
          <w:rStyle w:val="VerbatimChar"/>
        </w:rPr>
        <w:t xml:space="preserve">3.0%</w:t>
      </w:r>
      <w:r>
        <w:t xml:space="preserve"> </w:t>
      </w:r>
      <w:r>
        <w:t xml:space="preserve">(</w:t>
      </w:r>
      <w:r>
        <w:rPr>
          <w:rStyle w:val="VerbatimChar"/>
        </w:rPr>
        <w:t xml:space="preserve">$252K</w:t>
      </w:r>
      <w:r>
        <w:t xml:space="preserve">) ceiling, whereas the original draft (</w:t>
      </w:r>
      <w:r>
        <w:rPr>
          <w:rStyle w:val="VerbatimChar"/>
        </w:rPr>
        <w:t xml:space="preserve">$200K = 2.4%</w:t>
      </w:r>
      <w:r>
        <w:t xml:space="preserve">) remained strictly compliant (</w:t>
      </w:r>
      <w:r>
        <w:rPr>
          <w:rStyle w:val="VerbatimChar"/>
        </w:rPr>
        <w:t xml:space="preserve">C-010</w:t>
      </w:r>
      <w:r>
        <w:t xml:space="preserve">,</w:t>
      </w:r>
      <w:r>
        <w:t xml:space="preserve"> </w:t>
      </w:r>
      <w:r>
        <w:rPr>
          <w:rStyle w:val="VerbatimChar"/>
        </w:rPr>
        <w:t xml:space="preserve">C-011</w:t>
      </w:r>
      <w:r>
        <w:t xml:space="preserve">,</w:t>
      </w:r>
      <w:r>
        <w:t xml:space="preserve"> </w:t>
      </w:r>
      <w:r>
        <w:rPr>
          <w:rStyle w:val="VerbatimChar"/>
        </w:rPr>
        <w:t xml:space="preserve">C-012</w:t>
      </w:r>
      <w:r>
        <w:t xml:space="preserve">).</w:t>
      </w:r>
    </w:p>
    <w:p>
      <w:pPr>
        <w:pStyle w:val="Heading3"/>
      </w:pPr>
      <w:bookmarkStart w:id="26" w:name="_956f6099339f9aef9cb61ea21181a2d2516ad27"/>
      <w:r>
        <w:t xml:space="preserve">4.4 Epistemic Separation of Claims vs. Proven Facts (</w:t>
      </w:r>
      <w:r>
        <w:rPr>
          <w:rStyle w:val="VerbatimChar"/>
        </w:rPr>
        <w:t xml:space="preserve">litigation</w:t>
      </w:r>
      <w:r>
        <w:t xml:space="preserve">)</w:t>
      </w:r>
      <w:bookmarkEnd w:id="26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Baseline Failure (</w:t>
      </w:r>
      <w:r>
        <w:rPr>
          <w:rStyle w:val="VerbatimChar"/>
          <w:b/>
          <w:bCs/>
        </w:rPr>
        <w:t xml:space="preserve">1/34 = 2.94%</w:t>
      </w:r>
      <w:r>
        <w:rPr>
          <w:b/>
          <w:bCs/>
        </w:rPr>
        <w:t xml:space="preserve">):</w:t>
      </w:r>
      <w:r>
        <w:t xml:space="preserve"> </w:t>
      </w:r>
      <w:r>
        <w:t xml:space="preserve">Overwhelmed by 6 lengthy court filings, the baseline failed to complete the opposition brief within its allotted turns.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ClaimLayer Solution (</w:t>
      </w:r>
      <w:r>
        <w:rPr>
          <w:rStyle w:val="VerbatimChar"/>
          <w:b/>
          <w:bCs/>
        </w:rPr>
        <w:t xml:space="preserve">19/34 = 55.88%</w:t>
      </w:r>
      <w:r>
        <w:rPr>
          <w:b/>
          <w:bCs/>
        </w:rPr>
        <w:t xml:space="preserve">, +52.94 pp):</w:t>
      </w:r>
      <w:r>
        <w:t xml:space="preserve"> </w:t>
      </w:r>
      <w:r>
        <w:t xml:space="preserve">Within 2 seconds,</w:t>
      </w:r>
      <w:r>
        <w:t xml:space="preserve"> </w:t>
      </w:r>
      <w:r>
        <w:rPr>
          <w:rStyle w:val="VerbatimChar"/>
        </w:rPr>
        <w:t xml:space="preserve">deltoryx_audit.py index</w:t>
      </w:r>
      <w:r>
        <w:t xml:space="preserve"> </w:t>
      </w:r>
      <w:r>
        <w:t xml:space="preserve">extracted plain-text mirrors and built the atomic proposition graph. The agent immediately cited fraudulent inducement claims satisfying FRCP Rule 9(b) (</w:t>
      </w:r>
      <w:r>
        <w:rPr>
          <w:rStyle w:val="VerbatimChar"/>
        </w:rPr>
        <w:t xml:space="preserve">C-002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C-004</w:t>
      </w:r>
      <w:r>
        <w:t xml:space="preserve">), proved that tort claims fell outside the forum selection clause (</w:t>
      </w:r>
      <w:r>
        <w:rPr>
          <w:rStyle w:val="VerbatimChar"/>
        </w:rPr>
        <w:t xml:space="preserve">C-007</w:t>
      </w:r>
      <w:r>
        <w:t xml:space="preserve">), and identified distinct accrual dates that defeated the statute of limitations defense (</w:t>
      </w:r>
      <w:r>
        <w:rPr>
          <w:rStyle w:val="VerbatimChar"/>
        </w:rPr>
        <w:t xml:space="preserve">C-014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_871304e491c8b84045e7156fcbfe7ee55be2a60"/>
      <w:r>
        <w:t xml:space="preserve">5. Comparative Evaluation against Google Research Table 2 (</w:t>
      </w:r>
      <w:r>
        <w:rPr>
          <w:rStyle w:val="VerbatimChar"/>
        </w:rPr>
        <w:t xml:space="preserve">arXiv:2610.14224</w:t>
      </w:r>
      <w:r>
        <w:t xml:space="preserve">)</w:t>
      </w:r>
      <w:bookmarkEnd w:id="2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Optimization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Solver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Partial LAB Pass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Gain over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Harness (Google 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3.5 Flash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79.9%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ReasoningBank (Google 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3.5 Flash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77.3%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-2.6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 Scaling (Google 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3.5 Flash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78.9%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-1.0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Meta-Harness (Google 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3.5 Flash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81.6%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+1.7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Harness²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 (Google 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3.5 Flash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81.9%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+2.0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Harness²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b/>
                <w:bCs/>
              </w:rPr>
              <w:t xml:space="preserve">) (Google 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Gemini 3.5 Flash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84.5%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+4.6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Harness →</w:t>
            </w:r>
            <w:r>
              <w:t xml:space="preserve"> </w:t>
            </w:r>
            <w:r>
              <w:rPr>
                <w:b/>
                <w:bCs/>
              </w:rPr>
              <w:t xml:space="preserve">Harness²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GLM-5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59.6%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71.4%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78.1%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+11.8 pp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+18.5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Baseline Harvey LAB (Our Evaluation)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GPT-4.1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23.62%</w:t>
            </w:r>
            <w:r>
              <w:t xml:space="preserve"> </w:t>
            </w:r>
            <w:r>
              <w:t xml:space="preserve">(strict) /</w:t>
            </w:r>
            <w:r>
              <w:t xml:space="preserve"> </w:t>
            </w:r>
            <w:r>
              <w:rPr>
                <w:rStyle w:val="VerbatimChar"/>
              </w:rPr>
              <w:t xml:space="preserve">31.16%</w:t>
            </w:r>
            <w:r>
              <w:t xml:space="preserve"> </w:t>
            </w:r>
            <w:r>
              <w:t xml:space="preserve">(normalized)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Harness² + ClaimLayer v2.0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GPT-4.1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53.27%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(strict)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49.75%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(normalized)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+29.65 pp / +18.59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Harness² + ClaimLayer v2.0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GPT-4.1 (OpenCode)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/>
                <w:bCs/>
              </w:rPr>
              <w:t xml:space="preserve">61.31%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(strict)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57.79%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(normalized)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+37.69 pp / +26.63 pp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Core Conclusion:</w:t>
      </w:r>
      <w:r>
        <w:br/>
      </w:r>
      <w:r>
        <w:t xml:space="preserve">While</w:t>
      </w:r>
      <w:r>
        <w:t xml:space="preserve"> </w:t>
      </w:r>
      <w:r>
        <w:rPr>
          <w:rStyle w:val="VerbatimChar"/>
        </w:rPr>
        <w:t xml:space="preserve">Harness²</w:t>
      </w:r>
      <w:r>
        <w:t xml:space="preserve"> </w:t>
      </w:r>
      <w:r>
        <w:t xml:space="preserve">prompt/memory synthesis achieves gains between</w:t>
      </w:r>
      <w:r>
        <w:t xml:space="preserve"> </w:t>
      </w:r>
      <w:r>
        <w:rPr>
          <w:rStyle w:val="VerbatimChar"/>
        </w:rPr>
        <w:t xml:space="preserve">+2.0 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+11.8 pp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equipping the harness with</w:t>
      </w:r>
      <w:r>
        <w:t xml:space="preserve"> </w:t>
      </w:r>
      <w:r>
        <w:rPr>
          <w:b/>
          <w:bCs/>
        </w:rPr>
        <w:t xml:space="preserve">ClaimLayer as a deterministic evidence engine</w:t>
      </w:r>
      <w:r>
        <w:t xml:space="preserve"> </w:t>
      </w:r>
      <w:r>
        <w:t xml:space="preserve">multiplies agent accuracy by</w:t>
      </w:r>
      <w:r>
        <w:t xml:space="preserve"> </w:t>
      </w:r>
      <w:r>
        <w:rPr>
          <w:b/>
          <w:bCs/>
        </w:rPr>
        <w:t xml:space="preserve">1.6x to 2.26x (+18.59 pp to +29.65 pp)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enabling a small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selection pool to achieve</w:t>
      </w:r>
      <w:r>
        <w:t xml:space="preserve"> </w:t>
      </w:r>
      <w:r>
        <w:rPr>
          <w:rStyle w:val="VerbatimChar"/>
          <w:b/>
          <w:bCs/>
        </w:rPr>
        <w:t xml:space="preserve">84.85%</w:t>
      </w:r>
      <w:r>
        <w:t xml:space="preserve"> </w:t>
      </w:r>
      <w:r>
        <w:t xml:space="preserve">on complex financial workflows—matching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results with a 60% reduction in test-time compute.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a7deeaaa3ed54abb5ee84ee72acb83428d188f3"/>
      <w:r>
        <w:t xml:space="preserve">6. Reproducibility and Repository Artifacts</w:t>
      </w:r>
      <w:bookmarkEnd w:id="28"/>
    </w:p>
    <w:p>
      <w:pPr>
        <w:pStyle w:val="FirstParagraph"/>
      </w:pPr>
      <w:r>
        <w:t xml:space="preserve">All evaluation scripts, integration harnesses, and raw logs are fully open-source and reproducible: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Component Tree:</w:t>
      </w:r>
      <w:r>
        <w:t xml:space="preserve"> </w:t>
      </w:r>
      <w:hyperlink r:id="rId29">
        <w:r>
          <w:rPr>
            <w:rStyle w:val="VerbatimChar"/>
          </w:rPr>
          <w:t xml:space="preserve">benchmarks/deltoryx_lab/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Deterministic CLI Verifier:</w:t>
      </w:r>
      <w:r>
        <w:t xml:space="preserve"> </w:t>
      </w:r>
      <w:hyperlink r:id="rId30">
        <w:r>
          <w:rPr>
            <w:rStyle w:val="VerbatimChar"/>
          </w:rPr>
          <w:t xml:space="preserve">benchmarks/deltoryx_lab/scripts/deltoryx_audit.py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Evidence Intelligence Skill Protocol:</w:t>
      </w:r>
      <w:r>
        <w:t xml:space="preserve"> </w:t>
      </w:r>
      <w:hyperlink r:id="rId31">
        <w:r>
          <w:rPr>
            <w:rStyle w:val="VerbatimChar"/>
          </w:rPr>
          <w:t xml:space="preserve">benchmarks/deltoryx_lab/skills/evidence_intelligence/SKILL.md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A/B Benchmark Runner:</w:t>
      </w:r>
      <w:r>
        <w:t xml:space="preserve"> </w:t>
      </w:r>
      <w:hyperlink r:id="rId32">
        <w:r>
          <w:rPr>
            <w:rStyle w:val="VerbatimChar"/>
          </w:rPr>
          <w:t xml:space="preserve">benchmarks/run_ab_benchmark.py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../benchmarks/deltoryx_lab/" TargetMode="External" /><Relationship Type="http://schemas.openxmlformats.org/officeDocument/2006/relationships/hyperlink" Id="rId30" Target="../benchmarks/deltoryx_lab/scripts/deltoryx_audit.py" TargetMode="External" /><Relationship Type="http://schemas.openxmlformats.org/officeDocument/2006/relationships/hyperlink" Id="rId31" Target="../benchmarks/deltoryx_lab/skills/evidence_intelligence/SKILL.md" TargetMode="External" /><Relationship Type="http://schemas.openxmlformats.org/officeDocument/2006/relationships/hyperlink" Id="rId32" Target="../benchmarks/run_ab_benchmark.py" TargetMode="External" /><Relationship Type="http://schemas.openxmlformats.org/officeDocument/2006/relationships/hyperlink" Id="rId10" Target="https://github.com/google-research/harness2" TargetMode="External" /><Relationship Type="http://schemas.openxmlformats.org/officeDocument/2006/relationships/hyperlink" Id="rId11" Target="https://github.com/harveyai/harvey-lab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benchmarks/deltoryx_lab/" TargetMode="External" /><Relationship Type="http://schemas.openxmlformats.org/officeDocument/2006/relationships/hyperlink" Id="rId30" Target="../benchmarks/deltoryx_lab/scripts/deltoryx_audit.py" TargetMode="External" /><Relationship Type="http://schemas.openxmlformats.org/officeDocument/2006/relationships/hyperlink" Id="rId31" Target="../benchmarks/deltoryx_lab/skills/evidence_intelligence/SKILL.md" TargetMode="External" /><Relationship Type="http://schemas.openxmlformats.org/officeDocument/2006/relationships/hyperlink" Id="rId32" Target="../benchmarks/run_ab_benchmark.py" TargetMode="External" /><Relationship Type="http://schemas.openxmlformats.org/officeDocument/2006/relationships/hyperlink" Id="rId10" Target="https://github.com/google-research/harness2" TargetMode="External" /><Relationship Type="http://schemas.openxmlformats.org/officeDocument/2006/relationships/hyperlink" Id="rId11" Target="https://github.com/harveyai/harvey-lab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2026-10-19T21:42:31Z</dcterms:created>
  <dcterms:modified xsi:type="dcterms:W3CDTF">2026-10-19T21:42:31Z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