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dac0065a7e406350d863a3398ba059f1843d946"/>
      <w:r>
        <w:t xml:space="preserve">Exploratory Legal Agent Evaluation: Base</w:t>
      </w:r>
      <w:r>
        <w:t xml:space="preserve"> </w:t>
      </w:r>
      <w:r>
        <w:rPr>
          <w:rStyle w:val="VerbatimChar"/>
        </w:rPr>
        <w:t xml:space="preserve">LAB/OpenCode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ClaimLayer / Deltoryx</w:t>
      </w:r>
      <w:r>
        <w:t xml:space="preserve"> </w:t>
      </w:r>
      <w:r>
        <w:t xml:space="preserve">Augmented Workflow on Harvey Legal Agent Benchmark (LAB)</w:t>
      </w:r>
      <w:bookmarkEnd w:id="9"/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October 19, 2026</w:t>
      </w:r>
      <w:r>
        <w:br/>
      </w:r>
      <w:r>
        <w:rPr>
          <w:b/>
          <w:bCs/>
        </w:rPr>
        <w:t xml:space="preserve">Authors:</w:t>
      </w:r>
      <w:r>
        <w:t xml:space="preserve"> </w:t>
      </w:r>
      <w:r>
        <w:t xml:space="preserve">Francisco Jesús Hernández de Blas &amp; Deltoryx / ClaimLayer Team</w:t>
      </w:r>
      <w:r>
        <w:br/>
      </w:r>
      <w:r>
        <w:rPr>
          <w:b/>
          <w:bCs/>
        </w:rPr>
        <w:t xml:space="preserve">Platform Checkout Inspected: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d70bf3ffb19205984e6b4667aa3ad80b0e5831f8</w:t>
      </w:r>
      <w:r>
        <w:br/>
      </w:r>
      <w:r>
        <w:rPr>
          <w:b/>
          <w:bCs/>
        </w:rPr>
        <w:t xml:space="preserve">Benchmark &amp; Harness Context:</w:t>
      </w:r>
      <w:r>
        <w:t xml:space="preserve"> </w:t>
      </w:r>
      <w:hyperlink r:id="rId10">
        <w:r>
          <w:rPr>
            <w:rStyle w:val="VerbatimChar"/>
          </w:rPr>
          <w:t xml:space="preserve">harveyai/harvey-labs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b58a28a</w:t>
      </w:r>
      <w:r>
        <w:t xml:space="preserve">) and</w:t>
      </w:r>
      <w:r>
        <w:t xml:space="preserve"> </w:t>
      </w:r>
      <w:hyperlink r:id="rId11">
        <w:r>
          <w:rPr>
            <w:rStyle w:val="VerbatimChar"/>
          </w:rPr>
          <w:t xml:space="preserve">google-research/harness2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arXiv:2610.14224</w:t>
      </w:r>
      <w:r>
        <w:t xml:space="preserve">)</w:t>
      </w:r>
      <w:r>
        <w:br/>
      </w:r>
      <w:r>
        <w:rPr>
          <w:b/>
          <w:bCs/>
        </w:rPr>
        <w:t xml:space="preserve">Agent Substrate: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v1.14.18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tool_mode="base"</w:t>
      </w:r>
      <w:r>
        <w:t xml:space="preserve">,</w:t>
      </w:r>
      <w:r>
        <w:t xml:space="preserve"> </w:t>
      </w:r>
      <w:r>
        <w:rPr>
          <w:rStyle w:val="VerbatimChar"/>
        </w:rPr>
        <w:t xml:space="preserve">skill_mode="native"</w:t>
      </w:r>
      <w:r>
        <w:t xml:space="preserve">)</w:t>
      </w:r>
      <w:r>
        <w:br/>
      </w:r>
      <w:r>
        <w:rPr>
          <w:b/>
          <w:bCs/>
        </w:rPr>
        <w:t xml:space="preserve">Solver Model:</w:t>
      </w:r>
      <w:r>
        <w:t xml:space="preserve"> </w:t>
      </w:r>
      <w:r>
        <w:rPr>
          <w:rStyle w:val="VerbatimChar"/>
        </w:rPr>
        <w:t xml:space="preserve">openai/gpt-4.1</w:t>
      </w:r>
      <w:r>
        <w:br/>
      </w:r>
      <w:r>
        <w:rPr>
          <w:b/>
          <w:bCs/>
        </w:rPr>
        <w:t xml:space="preserve">Evaluators (Paired Within Each Task):</w:t>
      </w:r>
      <w:r>
        <w:t xml:space="preserve"> </w:t>
      </w:r>
      <w:r>
        <w:rPr>
          <w:rStyle w:val="VerbatimChar"/>
        </w:rPr>
        <w:t xml:space="preserve">harvey-labs/evaluation/run_eval.py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openai/gpt-4.1</w:t>
      </w:r>
      <w:r>
        <w:t xml:space="preserve"> </w:t>
      </w:r>
      <w:r>
        <w:t xml:space="preserve">(Litigation, Banking) and</w:t>
      </w:r>
      <w:r>
        <w:t xml:space="preserve"> </w:t>
      </w:r>
      <w:r>
        <w:rPr>
          <w:rStyle w:val="VerbatimChar"/>
        </w:rPr>
        <w:t xml:space="preserve">nvidia/nemotron-3-super-120b-a12b</w:t>
      </w:r>
      <w:r>
        <w:t xml:space="preserve"> </w:t>
      </w:r>
      <w:r>
        <w:t xml:space="preserve">(Structured Finance, Corporate M&amp;A)</w:t>
      </w:r>
      <w:r>
        <w:br/>
      </w:r>
      <w:r>
        <w:rPr>
          <w:b/>
          <w:bCs/>
        </w:rPr>
        <w:t xml:space="preserve">Scope:</w:t>
      </w:r>
      <w:r>
        <w:t xml:space="preserve"> </w:t>
      </w:r>
      <w:r>
        <w:t xml:space="preserve">4 selected multi-document legal tasks, 20 source documents, 199 rubric evaluation criteria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_e30eb545040c44b890c9bfaf56b5ccaa81feef2"/>
      <w:r>
        <w:t xml:space="preserve">1. Study Design and Boundaries</w:t>
      </w:r>
      <w:bookmarkEnd w:id="12"/>
    </w:p>
    <w:p>
      <w:pPr>
        <w:pStyle w:val="FirstParagraph"/>
      </w:pPr>
      <w:r>
        <w:t xml:space="preserve">This report summarizes the artifact-based reassessment of an exploratory integration comparing a base</w:t>
      </w:r>
      <w:r>
        <w:t xml:space="preserve"> </w:t>
      </w:r>
      <w:r>
        <w:rPr>
          <w:rStyle w:val="VerbatimChar"/>
        </w:rPr>
        <w:t xml:space="preserve">LAB/OpenCode</w:t>
      </w:r>
      <w:r>
        <w:t xml:space="preserve"> </w:t>
      </w:r>
      <w:r>
        <w:t xml:space="preserve">agent against an augmented workflow incorporating a</w:t>
      </w:r>
      <w:r>
        <w:t xml:space="preserve"> </w:t>
      </w:r>
      <w:r>
        <w:rPr>
          <w:b/>
          <w:bCs/>
        </w:rPr>
        <w:t xml:space="preserve">ClaimLayer / Deltoryx</w:t>
      </w:r>
      <w:r>
        <w:t xml:space="preserve"> </w:t>
      </w:r>
      <w:r>
        <w:t xml:space="preserve">component tree (</w:t>
      </w:r>
      <w:r>
        <w:rPr>
          <w:rStyle w:val="VerbatimChar"/>
        </w:rPr>
        <w:t xml:space="preserve">c1</w:t>
      </w:r>
      <w:r>
        <w:t xml:space="preserve">–</w:t>
      </w:r>
      <w:r>
        <w:rPr>
          <w:rStyle w:val="VerbatimChar"/>
        </w:rPr>
        <w:t xml:space="preserve">c8</w:t>
      </w:r>
      <w:r>
        <w:t xml:space="preserve">: system prompts, guardrails, memory, tool guidance,</w:t>
      </w:r>
      <w:r>
        <w:t xml:space="preserve"> </w:t>
      </w:r>
      <w:r>
        <w:rPr>
          <w:rStyle w:val="VerbatimChar"/>
        </w:rPr>
        <w:t xml:space="preserve">c5: skills/evidence_intelligence/SKILL.md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c7: scripts/deltoryx_audit.py</w:t>
      </w:r>
      <w:r>
        <w:t xml:space="preserve">).</w:t>
      </w:r>
    </w:p>
    <w:p>
      <w:pPr>
        <w:pStyle w:val="Heading3"/>
      </w:pPr>
      <w:bookmarkStart w:id="13" w:name="_a326f11e9072556d9a8fa651eaa4a2506f5a8c5"/>
      <w:r>
        <w:t xml:space="preserve">1.1 Experimental Configuration</w:t>
      </w:r>
      <w:bookmarkEnd w:id="13"/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Solver &amp; Execution Limits:</w:t>
      </w:r>
      <w:r>
        <w:t xml:space="preserve"> </w:t>
      </w:r>
      <w:r>
        <w:t xml:space="preserve">Both arms use</w:t>
      </w:r>
      <w:r>
        <w:t xml:space="preserve"> </w:t>
      </w:r>
      <w:r>
        <w:rPr>
          <w:rStyle w:val="VerbatimChar"/>
        </w:rPr>
        <w:t xml:space="preserve">openai/gpt-4.1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tool_mode="base"</w:t>
      </w:r>
      <w:r>
        <w:t xml:space="preserve">,</w:t>
      </w:r>
      <w:r>
        <w:t xml:space="preserve"> </w:t>
      </w:r>
      <w:r>
        <w:rPr>
          <w:rStyle w:val="VerbatimChar"/>
        </w:rPr>
        <w:t xml:space="preserve">skill_mode="native"</w:t>
      </w:r>
      <w:r>
        <w:t xml:space="preserve">, 80 maximum turns, one continuation, and a default 900-second timeout.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Prompt &amp; Workflow Differences:</w:t>
      </w:r>
      <w:r>
        <w:t xml:space="preserve"> </w:t>
      </w:r>
      <w:r>
        <w:t xml:space="preserve">Saved metrics record</w:t>
      </w:r>
      <w:r>
        <w:t xml:space="preserve"> </w:t>
      </w:r>
      <w:r>
        <w:rPr>
          <w:rStyle w:val="VerbatimChar"/>
        </w:rPr>
        <w:t xml:space="preserve">2,333</w:t>
      </w:r>
      <w:r>
        <w:t xml:space="preserve"> </w:t>
      </w:r>
      <w:r>
        <w:t xml:space="preserve">always-on prompt characters for the base arm and</w:t>
      </w:r>
      <w:r>
        <w:t xml:space="preserve"> </w:t>
      </w:r>
      <w:r>
        <w:rPr>
          <w:rStyle w:val="VerbatimChar"/>
        </w:rPr>
        <w:t xml:space="preserve">9,456</w:t>
      </w:r>
      <w:r>
        <w:t xml:space="preserve"> </w:t>
      </w:r>
      <w:r>
        <w:t xml:space="preserve">for the augmented arm, along with differing</w:t>
      </w:r>
      <w:r>
        <w:t xml:space="preserve"> </w:t>
      </w:r>
      <w:r>
        <w:rPr>
          <w:rStyle w:val="VerbatimChar"/>
        </w:rPr>
        <w:t xml:space="preserve">opencode_only</w:t>
      </w:r>
      <w:r>
        <w:t xml:space="preserve"> </w:t>
      </w:r>
      <w:r>
        <w:t xml:space="preserve">flags. The augmented workflow combines document-to-text mirrors, a local SQLite claim store, source-tier labels, clause-difference tables, instructions to index and verify, and a deliverable container check.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Evaluation Scope:</w:t>
      </w:r>
      <w:r>
        <w:t xml:space="preserve"> </w:t>
      </w:r>
      <w:r>
        <w:t xml:space="preserve">Four tasks were selected as a convenience sample covering litigation, structured finance, corporate M&amp;A, and banking (</w:t>
      </w:r>
      <w:r>
        <w:rPr>
          <w:rStyle w:val="VerbatimChar"/>
        </w:rPr>
        <w:t xml:space="preserve">34</w:t>
      </w:r>
      <w:r>
        <w:t xml:space="preserve">,</w:t>
      </w:r>
      <w:r>
        <w:t xml:space="preserve"> </w:t>
      </w:r>
      <w:r>
        <w:rPr>
          <w:rStyle w:val="VerbatimChar"/>
        </w:rPr>
        <w:t xml:space="preserve">37</w:t>
      </w:r>
      <w:r>
        <w:t xml:space="preserve">,</w:t>
      </w:r>
      <w:r>
        <w:t xml:space="preserve"> </w:t>
      </w:r>
      <w:r>
        <w:rPr>
          <w:rStyle w:val="VerbatimChar"/>
        </w:rPr>
        <w:t xml:space="preserve">62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66</w:t>
      </w:r>
      <w:r>
        <w:t xml:space="preserve"> </w:t>
      </w:r>
      <w:r>
        <w:t xml:space="preserve">rubric criteria respectively;</w:t>
      </w:r>
      <w:r>
        <w:t xml:space="preserve"> </w:t>
      </w:r>
      <w:r>
        <w:rPr>
          <w:rStyle w:val="VerbatimChar"/>
        </w:rPr>
        <w:t xml:space="preserve">199</w:t>
      </w:r>
      <w:r>
        <w:t xml:space="preserve"> </w:t>
      </w:r>
      <w:r>
        <w:t xml:space="preserve">correlated criteria across 4 cases). This is an author-run exploratory study using the LAB evaluator, not an evaluation or endorsement by the benchmark or</w:t>
      </w:r>
      <w:r>
        <w:t xml:space="preserve"> </w:t>
      </w:r>
      <w:r>
        <w:rPr>
          <w:rStyle w:val="VerbatimChar"/>
        </w:rPr>
        <w:t xml:space="preserve">Harness²</w:t>
      </w:r>
      <w:r>
        <w:t xml:space="preserve"> </w:t>
      </w:r>
      <w:r>
        <w:t xml:space="preserve">authors, nor a reproduction of</w:t>
      </w:r>
      <w:r>
        <w:t xml:space="preserve"> </w:t>
      </w:r>
      <w:r>
        <w:rPr>
          <w:rStyle w:val="VerbatimChar"/>
        </w:rPr>
        <w:t xml:space="preserve">Harness²</w:t>
      </w:r>
      <w:r>
        <w:t xml:space="preserve"> </w:t>
      </w:r>
      <w:r>
        <w:t xml:space="preserve">recursive optimization.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_5f1f001124c538df1110769fd14cd75acaa9cc5"/>
      <w:r>
        <w:t xml:space="preserve">2. Paired Results After Document-Container Repair</w:t>
      </w:r>
      <w:bookmarkEnd w:id="14"/>
    </w:p>
    <w:p>
      <w:pPr>
        <w:pStyle w:val="FirstParagraph"/>
      </w:pPr>
      <w:r>
        <w:t xml:space="preserve">Table 1 reports the recalculated descriptive results from paired saved</w:t>
      </w:r>
      <w:r>
        <w:t xml:space="preserve"> </w:t>
      </w:r>
      <w:r>
        <w:rPr>
          <w:rStyle w:val="VerbatimChar"/>
        </w:rPr>
        <w:t xml:space="preserve">scores.json</w:t>
      </w:r>
      <w:r>
        <w:t xml:space="preserve"> </w:t>
      </w:r>
      <w:r>
        <w:t xml:space="preserve">evaluations where</w:t>
      </w:r>
      <w:r>
        <w:t xml:space="preserve"> </w:t>
      </w:r>
      <w:r>
        <w:rPr>
          <w:b/>
          <w:bCs/>
        </w:rPr>
        <w:t xml:space="preserve">both arms within each task share the same judge</w:t>
      </w:r>
      <w:r>
        <w:t xml:space="preserve"> </w:t>
      </w:r>
      <w:r>
        <w:t xml:space="preserve">after document-container repair. We report</w:t>
      </w:r>
      <w:r>
        <w:t xml:space="preserve"> </w:t>
      </w:r>
      <w:r>
        <w:rPr>
          <w:b/>
          <w:bCs/>
        </w:rPr>
        <w:t xml:space="preserve">criterion pass rate</w:t>
      </w:r>
      <w:r>
        <w:t xml:space="preserve"> </w:t>
      </w:r>
      <w:r>
        <w:t xml:space="preserve">(not factual accuracy or complete-task pass rate; under the evaluator’s all-criteria rule, complete-task success is</w:t>
      </w:r>
      <w:r>
        <w:t xml:space="preserve"> </w:t>
      </w:r>
      <w:r>
        <w:rPr>
          <w:rStyle w:val="VerbatimChar"/>
        </w:rPr>
        <w:t xml:space="preserve">0/4</w:t>
      </w:r>
      <w:r>
        <w:t xml:space="preserve"> </w:t>
      </w:r>
      <w:r>
        <w:t xml:space="preserve">in both arms).</w:t>
      </w:r>
    </w:p>
    <w:p>
      <w:pPr>
        <w:pStyle w:val="Heading3"/>
      </w:pPr>
      <w:bookmarkStart w:id="15" w:name="_c8769372844112046472ff7066638c8ed770e85"/>
      <w:r>
        <w:t xml:space="preserve">2.1 Paired Task-Level Breakdown</w:t>
      </w:r>
      <w:bookmarkEnd w:id="15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2"/>
        <w:gridCol w:w="1015"/>
        <w:gridCol w:w="1015"/>
        <w:gridCol w:w="1015"/>
        <w:gridCol w:w="1015"/>
        <w:gridCol w:w="1015"/>
        <w:gridCol w:w="1015"/>
        <w:gridCol w:w="10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 (</w:t>
            </w:r>
            <w:r>
              <w:rPr>
                <w:rStyle w:val="VerbatimChar"/>
              </w:rPr>
              <w:t xml:space="preserve">practice-area / slug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Docs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Criteria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 Passed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Augmented Passed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Difference (pp)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Criterion Transitions (Gain / Loss)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Judge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litigation-dispute-resolution</w:t>
            </w:r>
            <w:r>
              <w:rPr>
                <w:rStyle w:val="VerbatimChar"/>
              </w:rPr>
              <w:t xml:space="preserve">analyze-counterparty-motion-to-dismiss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 / 34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2.94%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19 / 34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</w:t>
            </w:r>
            <w:r>
              <w:rPr>
                <w:rStyle w:val="VerbatimChar"/>
                <w:b/>
                <w:bCs/>
              </w:rPr>
              <w:t xml:space="preserve">55.88%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+52.94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+18 / -0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openai/gpt-4.1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structured-finance-securitization</w:t>
            </w:r>
            <w:r>
              <w:rPr>
                <w:rStyle w:val="VerbatimChar"/>
              </w:rPr>
              <w:t xml:space="preserve">compare-offering-memorandum-against-indenture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 / 37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8.11%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12 / 37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</w:t>
            </w:r>
            <w:r>
              <w:rPr>
                <w:rStyle w:val="VerbatimChar"/>
                <w:b/>
                <w:bCs/>
              </w:rPr>
              <w:t xml:space="preserve">32.43%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+24.32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+10 / 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nvidia/nemotron-3-super-120b-a12b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corporate-ma</w:t>
            </w:r>
            <w:r>
              <w:rPr>
                <w:rStyle w:val="VerbatimChar"/>
              </w:rPr>
              <w:t xml:space="preserve">analyze-counterparty-spa-markup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15 / 62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24.19%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24 / 62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</w:t>
            </w:r>
            <w:r>
              <w:rPr>
                <w:rStyle w:val="VerbatimChar"/>
                <w:b/>
                <w:bCs/>
              </w:rPr>
              <w:t xml:space="preserve">38.71%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+14.52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+12 / 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nvidia/nemotron-3-super-120b-a12b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banking-finance</w:t>
            </w:r>
            <w:r>
              <w:rPr>
                <w:rStyle w:val="VerbatimChar"/>
              </w:rPr>
              <w:t xml:space="preserve">analyze-counterparty-markup-of-senior-secured-credit-facility-term-sheet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43 / 66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65.15%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44 / 66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</w:t>
            </w:r>
            <w:r>
              <w:rPr>
                <w:rStyle w:val="VerbatimChar"/>
                <w:b/>
                <w:bCs/>
              </w:rPr>
              <w:t xml:space="preserve">66.67%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+1.52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+13 / 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openai/gpt-4.1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(Pooled)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62 / 199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</w:t>
            </w:r>
            <w:r>
              <w:rPr>
                <w:rStyle w:val="VerbatimChar"/>
                <w:b/>
                <w:bCs/>
              </w:rPr>
              <w:t xml:space="preserve">31.16%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99 / 199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</w:t>
            </w:r>
            <w:r>
              <w:rPr>
                <w:rStyle w:val="VerbatimChar"/>
                <w:b/>
                <w:bCs/>
              </w:rPr>
              <w:t xml:space="preserve">49.75%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+18.59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+53 / 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Mixed (Matched per task)</w:t>
            </w:r>
          </w:p>
        </w:tc>
      </w:tr>
    </w:tbl>
    <w:p>
      <w:pPr>
        <w:pStyle w:val="Heading3"/>
      </w:pPr>
      <w:bookmarkStart w:id="16" w:name="_b48b6f495ae13052757478797253174bef9f717"/>
      <w:r>
        <w:t xml:space="preserve">2.2 Summary Metrics</w:t>
      </w:r>
      <w:bookmarkEnd w:id="16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 Arm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Augmented Arm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Difference /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Pooled Criteria Passed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62 / 199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31.16%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99 / 199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49.75%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+37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criteria (</w:t>
            </w:r>
            <w:r>
              <w:rPr>
                <w:rStyle w:val="VerbatimChar"/>
                <w:b/>
                <w:bCs/>
              </w:rPr>
              <w:t xml:space="preserve">+18.59 pp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1.60x</w:t>
            </w:r>
            <w:r>
              <w:rPr>
                <w:b/>
                <w:b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Unweighted Mean of Task Pass Rates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25.10%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48.42%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+23.32 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Criterion-Level Gains / Losses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+53</w:t>
            </w:r>
            <w:r>
              <w:t xml:space="preserve"> </w:t>
            </w:r>
            <w:r>
              <w:t xml:space="preserve">gained /</w:t>
            </w:r>
            <w:r>
              <w:t xml:space="preserve"> </w:t>
            </w:r>
            <w:r>
              <w:rPr>
                <w:rStyle w:val="VerbatimChar"/>
              </w:rPr>
              <w:t xml:space="preserve">-16</w:t>
            </w:r>
            <w:r>
              <w:t xml:space="preserve"> </w:t>
            </w:r>
            <w:r>
              <w:t xml:space="preserve">lost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Net</w:t>
            </w:r>
            <w:r>
              <w:t xml:space="preserve"> </w:t>
            </w:r>
            <w:r>
              <w:rPr>
                <w:rStyle w:val="VerbatimChar"/>
              </w:rPr>
              <w:t xml:space="preserve">+37</w:t>
            </w:r>
            <w:r>
              <w:t xml:space="preserve"> </w:t>
            </w:r>
            <w:r>
              <w:t xml:space="preserve">criteria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Oracle Criterion Union (Post-hoc across both arms)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115 / 199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57.79%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Banking union:</w:t>
            </w:r>
            <w:r>
              <w:t xml:space="preserve"> </w:t>
            </w:r>
            <w:r>
              <w:rPr>
                <w:rStyle w:val="VerbatimChar"/>
              </w:rPr>
              <w:t xml:space="preserve">56 / 66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84.85%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Oracle Whole-Deliverable Selector (1 response/task)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99 / 199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49.75%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Selects augmented arm on all 4 tasks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Recorded Solver Tokens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220,320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388,406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+168,086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tokens (</w:t>
            </w:r>
            <w:r>
              <w:rPr>
                <w:rStyle w:val="VerbatimChar"/>
                <w:b/>
                <w:bCs/>
              </w:rPr>
              <w:t xml:space="preserve">+76.3%</w:t>
            </w:r>
            <w:r>
              <w:rPr>
                <w:b/>
                <w:b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Logged Solver Cost (Historical USD, excl. judge)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USD 1.8000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USD 2.4705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+USD 0.6705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</w:t>
            </w:r>
            <w:r>
              <w:rPr>
                <w:rStyle w:val="VerbatimChar"/>
                <w:b/>
                <w:bCs/>
              </w:rPr>
              <w:t xml:space="preserve">+37.3%</w:t>
            </w:r>
            <w:r>
              <w:rPr>
                <w:b/>
                <w:bCs/>
              </w:rP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7" w:name="_07d2223449dc267152cd3d3b6f3b058da8e3bae"/>
      <w:r>
        <w:t xml:space="preserve">3. Methodological Notes: Artifact Repair, Judge Sensitivity, and Oracle Union</w:t>
      </w:r>
      <w:bookmarkEnd w:id="17"/>
    </w:p>
    <w:p>
      <w:pPr>
        <w:pStyle w:val="Heading3"/>
      </w:pPr>
      <w:bookmarkStart w:id="18" w:name="_e0e8fc38b6b2d8fc3294f8a69c9080e1a902148"/>
      <w:r>
        <w:t xml:space="preserve">3.1 Why Earlier Unpaired</w:t>
      </w:r>
      <w:r>
        <w:t xml:space="preserve"> </w:t>
      </w:r>
      <w:r>
        <w:t xml:space="preserve">“Strict”</w:t>
      </w:r>
      <w:r>
        <w:t xml:space="preserve"> </w:t>
      </w:r>
      <w:r>
        <w:t xml:space="preserve">Aggregates (</w:t>
      </w:r>
      <w:r>
        <w:rPr>
          <w:rStyle w:val="VerbatimChar"/>
        </w:rPr>
        <w:t xml:space="preserve">47/199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106/199</w:t>
      </w:r>
      <w:r>
        <w:t xml:space="preserve">) Were Replaced</w:t>
      </w:r>
      <w:bookmarkEnd w:id="18"/>
    </w:p>
    <w:p>
      <w:pPr>
        <w:pStyle w:val="FirstParagraph"/>
      </w:pPr>
      <w:r>
        <w:t xml:space="preserve">An earlier draft reported</w:t>
      </w:r>
      <w:r>
        <w:t xml:space="preserve"> </w:t>
      </w:r>
      <w:r>
        <w:rPr>
          <w:rStyle w:val="VerbatimChar"/>
        </w:rPr>
        <w:t xml:space="preserve">47/199</w:t>
      </w:r>
      <w:r>
        <w:t xml:space="preserve"> </w:t>
      </w:r>
      <w:r>
        <w:t xml:space="preserve">(</w:t>
      </w:r>
      <w:r>
        <w:rPr>
          <w:rStyle w:val="VerbatimChar"/>
        </w:rPr>
        <w:t xml:space="preserve">23.62%</w:t>
      </w:r>
      <w:r>
        <w:t xml:space="preserve">) versus</w:t>
      </w:r>
      <w:r>
        <w:t xml:space="preserve"> </w:t>
      </w:r>
      <w:r>
        <w:rPr>
          <w:rStyle w:val="VerbatimChar"/>
        </w:rPr>
        <w:t xml:space="preserve">106/199</w:t>
      </w:r>
      <w:r>
        <w:t xml:space="preserve"> </w:t>
      </w:r>
      <w:r>
        <w:t xml:space="preserve">(</w:t>
      </w:r>
      <w:r>
        <w:rPr>
          <w:rStyle w:val="VerbatimChar"/>
        </w:rPr>
        <w:t xml:space="preserve">53.27%</w:t>
      </w:r>
      <w:r>
        <w:t xml:space="preserve">). Reassessment of the saved evaluation files identified three reasons why that aggregate is not retained as a primary controlled comparison: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Pre-Repair Container Failures in Corporate M&amp;A:</w:t>
      </w:r>
      <w:r>
        <w:t xml:space="preserve"> </w:t>
      </w:r>
      <w:r>
        <w:t xml:space="preserve">Saved pre-repair files show</w:t>
      </w:r>
      <w:r>
        <w:t xml:space="preserve"> </w:t>
      </w:r>
      <w:r>
        <w:rPr>
          <w:rStyle w:val="VerbatimChar"/>
        </w:rPr>
        <w:t xml:space="preserve">0/62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corporate M&amp;A arms before container repair (when raw Markdown was written 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filenames, causing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ZIP unpacking to fail), not only for the base arm.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Judge Differences on Repaired M&amp;A:</w:t>
      </w:r>
      <w:r>
        <w:t xml:space="preserve"> </w:t>
      </w:r>
      <w:r>
        <w:t xml:space="preserve">After container repair, the augmented M&amp;A deliverable scored</w:t>
      </w:r>
      <w:r>
        <w:t xml:space="preserve"> </w:t>
      </w:r>
      <w:r>
        <w:rPr>
          <w:rStyle w:val="VerbatimChar"/>
        </w:rPr>
        <w:t xml:space="preserve">31/62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openai/gpt-4.1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24/62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nvidia/nemotron-3-super-120b-a12b</w:t>
      </w:r>
      <w:r>
        <w:t xml:space="preserve">, while the repaired base deliverable was scored under Nemotron (</w:t>
      </w:r>
      <w:r>
        <w:rPr>
          <w:rStyle w:val="VerbatimChar"/>
        </w:rPr>
        <w:t xml:space="preserve">15/62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Structured Finance Readability Stage:</w:t>
      </w:r>
      <w:r>
        <w:t xml:space="preserve"> </w:t>
      </w:r>
      <w:r>
        <w:t xml:space="preserve">An earlier</w:t>
      </w:r>
      <w:r>
        <w:t xml:space="preserve"> </w:t>
      </w:r>
      <w:r>
        <w:rPr>
          <w:rStyle w:val="VerbatimChar"/>
        </w:rPr>
        <w:t xml:space="preserve">openai/gpt-4.1</w:t>
      </w:r>
      <w:r>
        <w:t xml:space="preserve"> </w:t>
      </w:r>
      <w:r>
        <w:t xml:space="preserve">evaluation on structured finance scored</w:t>
      </w:r>
      <w:r>
        <w:t xml:space="preserve"> </w:t>
      </w:r>
      <w:r>
        <w:rPr>
          <w:rStyle w:val="VerbatimChar"/>
        </w:rPr>
        <w:t xml:space="preserve">0/37</w:t>
      </w:r>
      <w:r>
        <w:t xml:space="preserve"> </w:t>
      </w:r>
      <w:r>
        <w:t xml:space="preserve">due to an artifact read failure, whereas the later Nemotron evaluation scored</w:t>
      </w:r>
      <w:r>
        <w:t xml:space="preserve"> </w:t>
      </w:r>
      <w:r>
        <w:rPr>
          <w:rStyle w:val="VerbatimChar"/>
        </w:rPr>
        <w:t xml:space="preserve">12/37</w:t>
      </w:r>
      <w:r>
        <w:t xml:space="preserve"> </w:t>
      </w:r>
      <w:r>
        <w:t xml:space="preserve">(vs. </w:t>
      </w:r>
      <w:r>
        <w:rPr>
          <w:rStyle w:val="VerbatimChar"/>
        </w:rPr>
        <w:t xml:space="preserve">3/37</w:t>
      </w:r>
      <w:r>
        <w:t xml:space="preserve"> </w:t>
      </w:r>
      <w:r>
        <w:t xml:space="preserve">for the base arm under Nemotron).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106/199</w:t>
      </w:r>
      <w:r>
        <w:t xml:space="preserve"> </w:t>
      </w:r>
      <w:r>
        <w:t xml:space="preserve">aggregate combined the</w:t>
      </w:r>
      <w:r>
        <w:t xml:space="preserve"> </w:t>
      </w:r>
      <w:r>
        <w:rPr>
          <w:rStyle w:val="VerbatimChar"/>
        </w:rPr>
        <w:t xml:space="preserve">31/62</w:t>
      </w:r>
      <w:r>
        <w:t xml:space="preserve"> </w:t>
      </w:r>
      <w:r>
        <w:t xml:space="preserve">GPT-4.1 M&amp;A score with the later structured-finance score while retaining the</w:t>
      </w:r>
      <w:r>
        <w:t xml:space="preserve"> </w:t>
      </w:r>
      <w:r>
        <w:rPr>
          <w:rStyle w:val="VerbatimChar"/>
        </w:rPr>
        <w:t xml:space="preserve">0/62</w:t>
      </w:r>
      <w:r>
        <w:t xml:space="preserve"> </w:t>
      </w:r>
      <w:r>
        <w:t xml:space="preserve">un-repaired base M&amp;A score (</w:t>
      </w:r>
      <w:r>
        <w:rPr>
          <w:rStyle w:val="VerbatimChar"/>
        </w:rPr>
        <w:t xml:space="preserve">47/199</w:t>
      </w:r>
      <w:r>
        <w:t xml:space="preserve">). Table 1 above instead enforces</w:t>
      </w:r>
      <w:r>
        <w:t xml:space="preserve"> </w:t>
      </w:r>
      <w:r>
        <w:rPr>
          <w:b/>
          <w:bCs/>
        </w:rPr>
        <w:t xml:space="preserve">matching judges within each task</w:t>
      </w:r>
      <w:r>
        <w:t xml:space="preserve"> </w:t>
      </w:r>
      <w:r>
        <w:t xml:space="preserve">and evaluates both repaired M&amp;A containers (</w:t>
      </w:r>
      <w:r>
        <w:rPr>
          <w:rStyle w:val="VerbatimChar"/>
        </w:rPr>
        <w:t xml:space="preserve">15/62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24/62</w:t>
      </w:r>
      <w:r>
        <w:t xml:space="preserve"> </w:t>
      </w:r>
      <w:r>
        <w:t xml:space="preserve">under Nemotron), yielding</w:t>
      </w:r>
      <w:r>
        <w:t xml:space="preserve"> </w:t>
      </w:r>
      <w:r>
        <w:rPr>
          <w:rStyle w:val="VerbatimChar"/>
        </w:rPr>
        <w:t xml:space="preserve">62/199</w:t>
      </w:r>
      <w:r>
        <w:t xml:space="preserve"> </w:t>
      </w:r>
      <w:r>
        <w:t xml:space="preserve">(</w:t>
      </w:r>
      <w:r>
        <w:rPr>
          <w:rStyle w:val="VerbatimChar"/>
        </w:rPr>
        <w:t xml:space="preserve">31.16%</w:t>
      </w:r>
      <w:r>
        <w:t xml:space="preserve">) versus</w:t>
      </w:r>
      <w:r>
        <w:t xml:space="preserve"> </w:t>
      </w:r>
      <w:r>
        <w:rPr>
          <w:rStyle w:val="VerbatimChar"/>
        </w:rPr>
        <w:t xml:space="preserve">99/199</w:t>
      </w:r>
      <w:r>
        <w:t xml:space="preserve"> </w:t>
      </w:r>
      <w:r>
        <w:t xml:space="preserve">(</w:t>
      </w:r>
      <w:r>
        <w:rPr>
          <w:rStyle w:val="VerbatimChar"/>
        </w:rPr>
        <w:t xml:space="preserve">49.75%</w:t>
      </w:r>
      <w:r>
        <w:t xml:space="preserve">).</w:t>
      </w:r>
    </w:p>
    <w:p>
      <w:pPr>
        <w:pStyle w:val="Heading3"/>
      </w:pPr>
      <w:bookmarkStart w:id="19" w:name="_9e6d95431be8f80478120282f46a252d119af98"/>
      <w:r>
        <w:t xml:space="preserve">3.2 Oracle Criterion Union vs. Realizable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Selection</w:t>
      </w:r>
      <w:bookmarkEnd w:id="19"/>
    </w:p>
    <w:p>
      <w:pPr>
        <w:pStyle w:val="FirstParagraph"/>
      </w:pPr>
      <w:r>
        <w:t xml:space="preserve">Across the Table 1 evaluations, the post-hoc union of criteria passed by either the base arm or the augmented arm is</w:t>
      </w:r>
      <w:r>
        <w:t xml:space="preserve"> </w:t>
      </w:r>
      <w:r>
        <w:rPr>
          <w:rStyle w:val="VerbatimChar"/>
          <w:b/>
          <w:bCs/>
        </w:rPr>
        <w:t xml:space="preserve">115 / 199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57.79%</w:t>
      </w:r>
      <w:r>
        <w:rPr>
          <w:b/>
          <w:bCs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56 / 66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84.85%</w:t>
      </w:r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Banking &amp; Finance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Why this is not a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selector score:</w:t>
      </w:r>
      <w:r>
        <w:t xml:space="preserve"> </w:t>
      </w:r>
      <w:r>
        <w:t xml:space="preserve">This union uses ground-truth rubric verdicts to count any criterion passed in either output. A realizable selector that chooses one complete deliverable per task cannot combine mutually exclusive per-criterion advantages from two separate documents. Even an oracle whole-response selector would pick the augmented deliverable in all four tasks and remain at</w:t>
      </w:r>
      <w:r>
        <w:t xml:space="preserve"> </w:t>
      </w:r>
      <w:r>
        <w:rPr>
          <w:rStyle w:val="VerbatimChar"/>
          <w:b/>
          <w:bCs/>
        </w:rPr>
        <w:t xml:space="preserve">99 / 199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49.75%</w:t>
      </w:r>
      <w:r>
        <w:rPr>
          <w:b/>
          <w:bCs/>
        </w:rPr>
        <w:t xml:space="preserve">)</w:t>
      </w:r>
      <w:r>
        <w:t xml:space="preserve"> </w:t>
      </w:r>
      <w:r>
        <w:t xml:space="preserve">(</w:t>
      </w:r>
      <w:r>
        <w:rPr>
          <w:rStyle w:val="VerbatimChar"/>
        </w:rPr>
        <w:t xml:space="preserve">44 / 66</w:t>
      </w:r>
      <w:r>
        <w:t xml:space="preserve"> </w:t>
      </w:r>
      <w:r>
        <w:t xml:space="preserve">in Banking).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Implication for Agent Harnesses: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+53</w:t>
      </w:r>
      <w:r>
        <w:t xml:space="preserve"> </w:t>
      </w:r>
      <w:r>
        <w:t xml:space="preserve">gains and</w:t>
      </w:r>
      <w:r>
        <w:t xml:space="preserve"> </w:t>
      </w:r>
      <w:r>
        <w:rPr>
          <w:rStyle w:val="VerbatimChar"/>
        </w:rPr>
        <w:t xml:space="preserve">-16</w:t>
      </w:r>
      <w:r>
        <w:t xml:space="preserve"> </w:t>
      </w:r>
      <w:r>
        <w:t xml:space="preserve">losses (</w:t>
      </w:r>
      <w:r>
        <w:rPr>
          <w:rStyle w:val="VerbatimChar"/>
        </w:rPr>
        <w:t xml:space="preserve">+13 / -12</w:t>
      </w:r>
      <w:r>
        <w:t xml:space="preserve"> </w:t>
      </w:r>
      <w:r>
        <w:t xml:space="preserve">in Banking) demonstrate substantial criterion-level complementarity between a playbook-focused pass and a full-text diff pass, motivating</w:t>
      </w:r>
      <w:r>
        <w:t xml:space="preserve"> </w:t>
      </w:r>
      <w:r>
        <w:rPr>
          <w:b/>
          <w:bCs/>
        </w:rPr>
        <w:t xml:space="preserve">rubric-blind candidate synthesis/merging</w:t>
      </w:r>
      <w:r>
        <w:t xml:space="preserve"> </w:t>
      </w:r>
      <w:r>
        <w:t xml:space="preserve">rather than winner-take-all rollout selection.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Direct Comparison to Published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Harness²</w:t>
      </w:r>
      <w:r>
        <w:rPr>
          <w:b/>
          <w:bCs/>
        </w:rPr>
        <w:t xml:space="preserve"> </w:t>
      </w:r>
      <w:r>
        <w:rPr>
          <w:b/>
          <w:bCs/>
        </w:rPr>
        <w:t xml:space="preserve">Table 2:</w:t>
      </w:r>
      <w:r>
        <w:t xml:space="preserve"> </w:t>
      </w:r>
      <w:r>
        <w:t xml:space="preserve">Published</w:t>
      </w:r>
      <w:r>
        <w:t xml:space="preserve"> </w:t>
      </w:r>
      <w:r>
        <w:rPr>
          <w:rStyle w:val="VerbatimChar"/>
        </w:rPr>
        <w:t xml:space="preserve">Harness²</w:t>
      </w:r>
      <w:r>
        <w:t xml:space="preserve"> </w:t>
      </w:r>
      <w:r>
        <w:t xml:space="preserve">scores (e.g.,</w:t>
      </w:r>
      <w:r>
        <w:t xml:space="preserve"> </w:t>
      </w:r>
      <w:r>
        <w:rPr>
          <w:rStyle w:val="VerbatimChar"/>
        </w:rPr>
        <w:t xml:space="preserve">81.9%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84.5%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with Gemini 3.5 Flash) use different foundation models, task subsets, and recursive training/selection protocols, and should not be directly equated with the single-task Banking oracle union.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_8acb2af5d9570438aa32f96edb6b9549fdf446c"/>
      <w:r>
        <w:t xml:space="preserve">4. Qualitative Observations and Limits of Attribution</w:t>
      </w:r>
      <w:bookmarkEnd w:id="20"/>
    </w:p>
    <w:p>
      <w:pPr>
        <w:pStyle w:val="Heading3"/>
      </w:pPr>
      <w:bookmarkStart w:id="21" w:name="_365f4032e93411386f9b16ab63d4fecfdb67073"/>
      <w:r>
        <w:t xml:space="preserve">4.1 Qualitative Task Patterns</w:t>
      </w:r>
      <w:bookmarkEnd w:id="21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Litigation (</w:t>
      </w:r>
      <w:r>
        <w:rPr>
          <w:rStyle w:val="VerbatimChar"/>
          <w:b/>
          <w:bCs/>
        </w:rPr>
        <w:t xml:space="preserve">1/34</w:t>
      </w:r>
      <w:r>
        <w:rPr>
          <w:b/>
          <w:bCs/>
        </w:rPr>
        <w:t xml:space="preserve"> </w:t>
      </w:r>
      <m:oMath>
        <m:r>
          <m:rPr>
            <m:sty m:val="p"/>
          </m:rPr>
          <m:t>→</m:t>
        </m:r>
      </m:oMath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19/34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+18 / -0</w:t>
      </w:r>
      <w:r>
        <w:rPr>
          <w:b/>
          <w:bCs/>
        </w:rPr>
        <w:t xml:space="preserve">):</w:t>
      </w:r>
      <w:r>
        <w:t xml:space="preserve"> </w:t>
      </w:r>
      <w:r>
        <w:t xml:space="preserve">Pre-indexing plain-text mirrors of the 6 court filings allowed the solver to complete the opposition brief within the turn budget and address FRCP Rule 9(b) particularity, forum-selection scope, and accrual timing criteria.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Structured Finance (</w:t>
      </w:r>
      <w:r>
        <w:rPr>
          <w:rStyle w:val="VerbatimChar"/>
          <w:b/>
          <w:bCs/>
        </w:rPr>
        <w:t xml:space="preserve">3/37</w:t>
      </w:r>
      <w:r>
        <w:rPr>
          <w:b/>
          <w:bCs/>
        </w:rPr>
        <w:t xml:space="preserve"> </w:t>
      </w:r>
      <m:oMath>
        <m:r>
          <m:rPr>
            <m:sty m:val="p"/>
          </m:rPr>
          <m:t>→</m:t>
        </m:r>
      </m:oMath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12/37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+10 / -1</w:t>
      </w:r>
      <w:r>
        <w:rPr>
          <w:b/>
          <w:bCs/>
        </w:rPr>
        <w:t xml:space="preserve">):</w:t>
      </w:r>
      <w:r>
        <w:t xml:space="preserve"> </w:t>
      </w:r>
      <w:r>
        <w:t xml:space="preserve">Document indexing and hierarchy prompts helped surface discrepancies between the Indenture and the Offering Memorandum (such as Reserve Account replenishment priority and Class C Note coupon differences).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Corporate M&amp;A (</w:t>
      </w:r>
      <w:r>
        <w:rPr>
          <w:rStyle w:val="VerbatimChar"/>
          <w:b/>
          <w:bCs/>
        </w:rPr>
        <w:t xml:space="preserve">15/62</w:t>
      </w:r>
      <w:r>
        <w:rPr>
          <w:b/>
          <w:bCs/>
        </w:rPr>
        <w:t xml:space="preserve"> </w:t>
      </w:r>
      <m:oMath>
        <m:r>
          <m:rPr>
            <m:sty m:val="p"/>
          </m:rPr>
          <m:t>→</m:t>
        </m:r>
      </m:oMath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24/62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+12 / -3</w:t>
      </w:r>
      <w:r>
        <w:rPr>
          <w:b/>
          <w:bCs/>
        </w:rPr>
        <w:t xml:space="preserve">):</w:t>
      </w:r>
      <w:r>
        <w:t xml:space="preserve"> </w:t>
      </w:r>
      <w:r>
        <w:t xml:space="preserve">Extracting tabular schedules alongside SPA text helped connect working-capital collar modifications to the balance sheet figures in</w:t>
      </w:r>
      <w:r>
        <w:t xml:space="preserve"> </w:t>
      </w:r>
      <w:r>
        <w:rPr>
          <w:rStyle w:val="VerbatimChar"/>
        </w:rPr>
        <w:t xml:space="preserve">dataforge-financial-summary.xlsx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Banking &amp; Finance (</w:t>
      </w:r>
      <w:r>
        <w:rPr>
          <w:rStyle w:val="VerbatimChar"/>
          <w:b/>
          <w:bCs/>
        </w:rPr>
        <w:t xml:space="preserve">43/66</w:t>
      </w:r>
      <w:r>
        <w:rPr>
          <w:b/>
          <w:bCs/>
        </w:rPr>
        <w:t xml:space="preserve"> </w:t>
      </w:r>
      <m:oMath>
        <m:r>
          <m:rPr>
            <m:sty m:val="p"/>
          </m:rPr>
          <m:t>→</m:t>
        </m:r>
      </m:oMath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44/66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+13 / -12</w:t>
      </w:r>
      <w:r>
        <w:rPr>
          <w:b/>
          <w:bCs/>
        </w:rPr>
        <w:t xml:space="preserve">):</w:t>
      </w:r>
      <w:r>
        <w:t xml:space="preserve"> </w:t>
      </w:r>
      <w:r>
        <w:t xml:space="preserve">Full-text markup diffing recovered 13 criteria where the negotiation playbook was silent (such as deleted maturity extension options), but lost 12 criteria passed by the base run, yielding a net gain of 1 criterion.</w:t>
      </w:r>
    </w:p>
    <w:p>
      <w:pPr>
        <w:pStyle w:val="Heading3"/>
      </w:pPr>
      <w:bookmarkStart w:id="22" w:name="_74d6a106755156cf3a93a12a267a13ed7ad8be4"/>
      <w:r>
        <w:t xml:space="preserve">4.2 Bundled Intervention and Implementation Boundaries</w:t>
      </w:r>
      <w:bookmarkEnd w:id="22"/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Bundled Intervention:</w:t>
      </w:r>
      <w:r>
        <w:t xml:space="preserve"> </w:t>
      </w:r>
      <w:r>
        <w:t xml:space="preserve">Because plain-text mirrors, clause-difference tables, longer system/skill prompts (</w:t>
      </w:r>
      <w:r>
        <w:rPr>
          <w:rStyle w:val="VerbatimChar"/>
        </w:rPr>
        <w:t xml:space="preserve">9,456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2,333</w:t>
      </w:r>
      <w:r>
        <w:t xml:space="preserve"> </w:t>
      </w:r>
      <w:r>
        <w:t xml:space="preserve">chars), increased solver token expenditure (</w:t>
      </w:r>
      <w:r>
        <w:rPr>
          <w:rStyle w:val="VerbatimChar"/>
        </w:rPr>
        <w:t xml:space="preserve">+76.3%</w:t>
      </w:r>
      <w:r>
        <w:t xml:space="preserve">), and container checks were introduced together, the</w:t>
      </w:r>
      <w:r>
        <w:t xml:space="preserve"> </w:t>
      </w:r>
      <w:r>
        <w:rPr>
          <w:rStyle w:val="VerbatimChar"/>
        </w:rPr>
        <w:t xml:space="preserve">+18.59 pp</w:t>
      </w:r>
      <w:r>
        <w:t xml:space="preserve"> </w:t>
      </w:r>
      <w:r>
        <w:t xml:space="preserve">improvement cannot be causally attributed to a single mechanism without component ablations and a parsing-matched baseline.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Differences Between the Inspected Audit Script and the Formal v2 Specification: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benchmarks/deltoryx_lab/scripts/deltoryx_audit.py</w:t>
      </w:r>
      <w:r>
        <w:t xml:space="preserve"> </w:t>
      </w:r>
      <w:r>
        <w:t xml:space="preserve">assigns document authority via filename heuristics, extracts at most the first 80 paragraphs per document with page locators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, and assigns fixed confidence constants by source tier.</w:t>
      </w:r>
    </w:p>
    <w:p>
      <w:pPr>
        <w:pStyle w:val="Compact"/>
        <w:numPr>
          <w:ilvl w:val="1"/>
          <w:numId w:val="1004"/>
        </w:numPr>
      </w:pPr>
      <w:r>
        <w:t xml:space="preserve">Records are labelled</w:t>
      </w:r>
      <w:r>
        <w:t xml:space="preserve"> </w:t>
      </w:r>
      <w:r>
        <w:rPr>
          <w:rStyle w:val="VerbatimChar"/>
        </w:rPr>
        <w:t xml:space="preserve">deductive</w:t>
      </w:r>
      <w:r>
        <w:t xml:space="preserve"> </w:t>
      </w:r>
      <w:r>
        <w:t xml:space="preserve">without executing the formal rule-and-premise proof checker specified in Section 6 of the paper, and opinion values use fixed constants rather than empirical calibration or dependence-aware scoring.</w:t>
      </w:r>
    </w:p>
    <w:p>
      <w:pPr>
        <w:pStyle w:val="Compac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verified=true</w:t>
      </w:r>
      <w:r>
        <w:t xml:space="preserve"> </w:t>
      </w:r>
      <w:r>
        <w:t xml:space="preserve">status in the 4 saved</w:t>
      </w:r>
      <w:r>
        <w:t xml:space="preserve"> </w:t>
      </w:r>
      <w:r>
        <w:rPr>
          <w:rStyle w:val="VerbatimChar"/>
        </w:rPr>
        <w:t xml:space="preserve">DELTORYX-MERKLE-SHA256-v2</w:t>
      </w:r>
      <w:r>
        <w:t xml:space="preserve"> </w:t>
      </w:r>
      <w:r>
        <w:t xml:space="preserve">certificates represents a cryptographic self-check over recorded artifacts, not a proof of semantic accuracy or complete rubric satisfaction.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_ce123c1f342bb42cbce62b422870deb8fd61ee8"/>
      <w:r>
        <w:t xml:space="preserve">5. Repository Artifacts</w:t>
      </w:r>
      <w:bookmarkEnd w:id="23"/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Component Tree:</w:t>
      </w:r>
      <w:r>
        <w:t xml:space="preserve"> </w:t>
      </w:r>
      <w:hyperlink r:id="rId24">
        <w:r>
          <w:rPr>
            <w:rStyle w:val="VerbatimChar"/>
          </w:rPr>
          <w:t xml:space="preserve">benchmarks/deltoryx_lab/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CLI Indexing &amp; Verification Script:</w:t>
      </w:r>
      <w:r>
        <w:t xml:space="preserve"> </w:t>
      </w:r>
      <w:hyperlink r:id="rId25">
        <w:r>
          <w:rPr>
            <w:rStyle w:val="VerbatimChar"/>
          </w:rPr>
          <w:t xml:space="preserve">benchmarks/deltoryx_lab/scripts/deltoryx_audit.py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 Protocol:</w:t>
      </w:r>
      <w:r>
        <w:t xml:space="preserve"> </w:t>
      </w:r>
      <w:hyperlink r:id="rId26">
        <w:r>
          <w:rPr>
            <w:rStyle w:val="VerbatimChar"/>
          </w:rPr>
          <w:t xml:space="preserve">benchmarks/deltoryx_lab/skills/evidence_intelligence/SKILL.md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A/B Benchmark Runner:</w:t>
      </w:r>
      <w:r>
        <w:t xml:space="preserve"> </w:t>
      </w:r>
      <w:hyperlink r:id="rId27">
        <w:r>
          <w:rPr>
            <w:rStyle w:val="VerbatimChar"/>
          </w:rPr>
          <w:t xml:space="preserve">benchmarks/run_ab_benchmark.py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../benchmarks/deltoryx_lab/" TargetMode="External" /><Relationship Type="http://schemas.openxmlformats.org/officeDocument/2006/relationships/hyperlink" Id="rId25" Target="../benchmarks/deltoryx_lab/scripts/deltoryx_audit.py" TargetMode="External" /><Relationship Type="http://schemas.openxmlformats.org/officeDocument/2006/relationships/hyperlink" Id="rId26" Target="../benchmarks/deltoryx_lab/skills/evidence_intelligence/SKILL.md" TargetMode="External" /><Relationship Type="http://schemas.openxmlformats.org/officeDocument/2006/relationships/hyperlink" Id="rId27" Target="../benchmarks/run_ab_benchmark.py" TargetMode="External" /><Relationship Type="http://schemas.openxmlformats.org/officeDocument/2006/relationships/hyperlink" Id="rId11" Target="https://github.com/google-research/harness2" TargetMode="External" /><Relationship Type="http://schemas.openxmlformats.org/officeDocument/2006/relationships/hyperlink" Id="rId10" Target="https://github.com/harveyai/harvey-lab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benchmarks/deltoryx_lab/" TargetMode="External" /><Relationship Type="http://schemas.openxmlformats.org/officeDocument/2006/relationships/hyperlink" Id="rId25" Target="../benchmarks/deltoryx_lab/scripts/deltoryx_audit.py" TargetMode="External" /><Relationship Type="http://schemas.openxmlformats.org/officeDocument/2006/relationships/hyperlink" Id="rId26" Target="../benchmarks/deltoryx_lab/skills/evidence_intelligence/SKILL.md" TargetMode="External" /><Relationship Type="http://schemas.openxmlformats.org/officeDocument/2006/relationships/hyperlink" Id="rId27" Target="../benchmarks/run_ab_benchmark.py" TargetMode="External" /><Relationship Type="http://schemas.openxmlformats.org/officeDocument/2006/relationships/hyperlink" Id="rId11" Target="https://github.com/google-research/harness2" TargetMode="External" /><Relationship Type="http://schemas.openxmlformats.org/officeDocument/2006/relationships/hyperlink" Id="rId10" Target="https://github.com/harveyai/harvey-lab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2026-10-19T22:19:24Z</dcterms:created>
  <dcterms:modified xsi:type="dcterms:W3CDTF">2026-10-19T22:19:24Z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