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Calibri" w:hAnsi="Calibri"/>
          <w:b/>
          <w:i w:val="0"/>
          <w:color w:val="1A1A2E"/>
          <w:sz w:val="36"/>
        </w:rPr>
        <w:t>MATTHEW VILLARREAL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 xml:space="preserve">Moorpark, CA  |  (832) 248-4887  |  matthew.d.villarreal@gmail.com  |  </w:t>
      </w:r>
      <w:r>
        <w:rPr>
          <w:rFonts w:ascii="Calibri" w:hAnsi="Calibri"/>
          <w:b w:val="0"/>
          <w:i w:val="0"/>
          <w:color w:val="1A5C6E"/>
          <w:sz w:val="19"/>
        </w:rPr>
        <w:t>linkedin.com/in/matthewvillarreal</w:t>
      </w:r>
    </w:p>
    <w:p>
      <w:pPr>
        <w:spacing w:after="60" w:before="200" w:line="259" w:lineRule="auto"/>
        <w:pBdr>
          <w:bottom w:val="single" w:sz="4" w:space="2" w:color="999999"/>
        </w:pBdr>
      </w:pPr>
      <w:r>
        <w:rPr>
          <w:rFonts w:ascii="Calibri" w:hAnsi="Calibri"/>
          <w:b/>
          <w:i w:val="0"/>
          <w:color w:val="1A1A2E"/>
          <w:sz w:val="21"/>
        </w:rPr>
        <w:t>PROFESSIONAL SUMMARY</w:t>
      </w:r>
    </w:p>
    <w:p>
      <w:pPr>
        <w:spacing w:after="40" w:before="0" w:line="259" w:lineRule="auto"/>
      </w:pPr>
      <w:r>
        <w:rPr>
          <w:rFonts w:ascii="Calibri" w:hAnsi="Calibri"/>
          <w:b w:val="0"/>
          <w:i w:val="0"/>
          <w:sz w:val="20"/>
        </w:rPr>
        <w:t>Senior Proposals Specialist with 10+ years across proposal management, commercial operations, engineering, and project management. Led past performance and adverse performance narratives on 10+ government pursuits representing $2.9B+ in aggregate contract value. Proven ability to synthesize complex compliance requirements into winning proposals under compressed deadlines.</w:t>
      </w:r>
    </w:p>
    <w:p>
      <w:pPr>
        <w:spacing w:after="60" w:before="200" w:line="259" w:lineRule="auto"/>
        <w:pBdr>
          <w:bottom w:val="single" w:sz="4" w:space="2" w:color="999999"/>
        </w:pBdr>
      </w:pPr>
      <w:r>
        <w:rPr>
          <w:rFonts w:ascii="Calibri" w:hAnsi="Calibri"/>
          <w:b/>
          <w:i w:val="0"/>
          <w:color w:val="1A1A2E"/>
          <w:sz w:val="21"/>
        </w:rPr>
        <w:t>PROFESSIONAL EXPERIENCE</w:t>
      </w:r>
    </w:p>
    <w:p>
      <w:pPr>
        <w:spacing w:after="20" w:before="160" w:line="259" w:lineRule="auto"/>
      </w:pPr>
      <w:r>
        <w:rPr>
          <w:rFonts w:ascii="Calibri" w:hAnsi="Calibri"/>
          <w:b/>
          <w:i w:val="0"/>
          <w:color w:val="1A1A2E"/>
          <w:sz w:val="21"/>
        </w:rPr>
        <w:t>KBR, Inc.</w:t>
      </w:r>
      <w:r>
        <w:rPr>
          <w:rFonts w:ascii="Calibri" w:hAnsi="Calibri"/>
          <w:b w:val="0"/>
          <w:i w:val="0"/>
          <w:color w:val="555555"/>
          <w:sz w:val="19"/>
        </w:rPr>
        <w:t xml:space="preserve">  —  Moorpark, CA</w:t>
      </w:r>
    </w:p>
    <w:p>
      <w:pPr>
        <w:spacing w:after="40" w:before="0" w:line="259" w:lineRule="auto"/>
      </w:pPr>
      <w:r>
        <w:rPr>
          <w:rFonts w:ascii="Calibri" w:hAnsi="Calibri"/>
          <w:b w:val="0"/>
          <w:i/>
          <w:color w:val="1A1A2E"/>
          <w:sz w:val="20"/>
        </w:rPr>
        <w:t>Senior Proposals Specialist</w:t>
      </w:r>
      <w:r>
        <w:rPr>
          <w:rFonts w:ascii="Calibri" w:hAnsi="Calibri"/>
          <w:b w:val="0"/>
          <w:i w:val="0"/>
          <w:color w:val="777777"/>
          <w:sz w:val="19"/>
        </w:rPr>
        <w:t xml:space="preserve">  |  Mar 2022 – Present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Led past performance and adverse performance narrative development for 10+ government proposals representing $2.9B+ in aggregate contract value — managed compliance reviews, color-team support, and capture-phase contributions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Directed adverse past performance collection, analysis, and narrative development across multiple predecessor contracts spanning CONUS and OCONUS sites — synthesized letters of concern, corrective action reports, Cure Notices, and CPARs into compliant, evaluator-safe recovery narratives under compressed page-count constraints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Served as Past Performance Lead on major contested re-competes, coordinating data calls across geographically distributed program teams and navigating complex multi-volume compliance requirements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Contributed to RFI development, contract strengths analysis, and glide-path solutioning for early-phase captures, including a $600M+ commercial services pursuit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Maintained cross-functional compliance trackers for multi-volume submissions; served as independent reviewer (IPR) for corporate experience sections across color-team milestone reviews</w:t>
      </w:r>
    </w:p>
    <w:p>
      <w:pPr>
        <w:spacing w:after="20" w:before="160" w:line="259" w:lineRule="auto"/>
      </w:pPr>
      <w:r>
        <w:rPr>
          <w:rFonts w:ascii="Calibri" w:hAnsi="Calibri"/>
          <w:b/>
          <w:i w:val="0"/>
          <w:color w:val="1A1A2E"/>
          <w:sz w:val="21"/>
        </w:rPr>
        <w:t>Brüel &amp; Kjær Vibro (B&amp;K Vibro)</w:t>
      </w:r>
      <w:r>
        <w:rPr>
          <w:rFonts w:ascii="Calibri" w:hAnsi="Calibri"/>
          <w:b w:val="0"/>
          <w:i w:val="0"/>
          <w:color w:val="555555"/>
          <w:sz w:val="19"/>
        </w:rPr>
        <w:t xml:space="preserve">  —  Houston, TX</w:t>
      </w:r>
    </w:p>
    <w:p>
      <w:pPr>
        <w:spacing w:after="40" w:before="0" w:line="259" w:lineRule="auto"/>
      </w:pPr>
      <w:r>
        <w:rPr>
          <w:rFonts w:ascii="Calibri" w:hAnsi="Calibri"/>
          <w:b w:val="0"/>
          <w:i/>
          <w:color w:val="1A1A2E"/>
          <w:sz w:val="20"/>
        </w:rPr>
        <w:t>Sales &amp; Operations Manager</w:t>
      </w:r>
      <w:r>
        <w:rPr>
          <w:rFonts w:ascii="Calibri" w:hAnsi="Calibri"/>
          <w:b w:val="0"/>
          <w:i w:val="0"/>
          <w:color w:val="777777"/>
          <w:sz w:val="19"/>
        </w:rPr>
        <w:t xml:space="preserve">  |  Aug 2018 – Feb 2022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Managed western US sales region across 17 states; served as Salesforce Administrator for a global team of 40+ across every continent — generated sales forecasting dashboards and reports for executive leadership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Project managed CRM migration from legacy system to Salesforce in 6 months — scoped requirements, managed data migration, and developed/delivered training to 75+ sales managers globally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Led a $4M multi-country proposal involving resources from Denmark, Germany, and Brazil, coordinating across C-suite stakeholders at B&amp;K Vibro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Developed FY2022 business planning resources for the Americas sales team with a $7M forecast; discovered and developed opportunities with $1M+ revenue potential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Managed all proposal development across the Americas with signature authority for budgetary proposals up to $500k</w:t>
      </w:r>
    </w:p>
    <w:p>
      <w:pPr>
        <w:spacing w:after="20" w:before="160" w:line="259" w:lineRule="auto"/>
      </w:pPr>
      <w:r>
        <w:rPr>
          <w:rFonts w:ascii="Calibri" w:hAnsi="Calibri"/>
          <w:b/>
          <w:i w:val="0"/>
          <w:color w:val="1A1A2E"/>
          <w:sz w:val="21"/>
        </w:rPr>
        <w:t>KBR, Inc.</w:t>
      </w:r>
      <w:r>
        <w:rPr>
          <w:rFonts w:ascii="Calibri" w:hAnsi="Calibri"/>
          <w:b w:val="0"/>
          <w:i w:val="0"/>
          <w:color w:val="555555"/>
          <w:sz w:val="19"/>
        </w:rPr>
        <w:t xml:space="preserve">  —  Houston, TX</w:t>
      </w:r>
    </w:p>
    <w:p>
      <w:pPr>
        <w:spacing w:after="40" w:before="0" w:line="259" w:lineRule="auto"/>
      </w:pPr>
      <w:r>
        <w:rPr>
          <w:rFonts w:ascii="Calibri" w:hAnsi="Calibri"/>
          <w:b w:val="0"/>
          <w:i/>
          <w:color w:val="1A1A2E"/>
          <w:sz w:val="20"/>
        </w:rPr>
        <w:t>Proposal Specialist / Project Manager</w:t>
      </w:r>
      <w:r>
        <w:rPr>
          <w:rFonts w:ascii="Calibri" w:hAnsi="Calibri"/>
          <w:b w:val="0"/>
          <w:i w:val="0"/>
          <w:color w:val="777777"/>
          <w:sz w:val="19"/>
        </w:rPr>
        <w:t xml:space="preserve">  |  Jul 2016 – Jul 2018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Managed complex proposal development across multiple KBR business functions — supported sales, capture, and business development through technical solutioning, win theme development, and management review coordination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Designed Gantt-chart operations schedules for mobilizing and executing military-focused projects worldwide ranging from $1M to $10M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Researched and applied DoD, Army, Navy, and Air Force SOPs and quality standards to ensure compliance in 10+ individual submissions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Analyzed asset management and supply chain data, resulting in prioritized improvements that optimized KBR's global program</w:t>
      </w:r>
    </w:p>
    <w:p>
      <w:pPr>
        <w:spacing w:after="20" w:before="160" w:line="259" w:lineRule="auto"/>
      </w:pPr>
      <w:r>
        <w:rPr>
          <w:rFonts w:ascii="Calibri" w:hAnsi="Calibri"/>
          <w:b/>
          <w:i w:val="0"/>
          <w:color w:val="1A1A2E"/>
          <w:sz w:val="21"/>
        </w:rPr>
        <w:t>KBR, Inc.</w:t>
      </w:r>
      <w:r>
        <w:rPr>
          <w:rFonts w:ascii="Calibri" w:hAnsi="Calibri"/>
          <w:b w:val="0"/>
          <w:i w:val="0"/>
          <w:color w:val="555555"/>
          <w:sz w:val="19"/>
        </w:rPr>
        <w:t xml:space="preserve">  —  Houston, TX</w:t>
      </w:r>
    </w:p>
    <w:p>
      <w:pPr>
        <w:spacing w:after="40" w:before="0" w:line="259" w:lineRule="auto"/>
      </w:pPr>
      <w:r>
        <w:rPr>
          <w:rFonts w:ascii="Calibri" w:hAnsi="Calibri"/>
          <w:b w:val="0"/>
          <w:i/>
          <w:color w:val="1A1A2E"/>
          <w:sz w:val="20"/>
        </w:rPr>
        <w:t>Mechanical Engineer / Project Manager</w:t>
      </w:r>
      <w:r>
        <w:rPr>
          <w:rFonts w:ascii="Calibri" w:hAnsi="Calibri"/>
          <w:b w:val="0"/>
          <w:i w:val="0"/>
          <w:color w:val="777777"/>
          <w:sz w:val="19"/>
        </w:rPr>
        <w:t xml:space="preserve">  |  Mar 2013 – Jul 2016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Led technical bid analysis, incorporating corporate and industry standards while facilitating bid conditioning meetings with equipment vendors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Project managed an $850M plant expansion — led daily stand-up meetings, managed scheduling and milestone tracking, and coordinated across engineering disciplines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Managed a team of 10 millwrights and electricians to commission and repair complex equipment at an ammonia plant near New Orleans, LA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Performed root-cause failure analysis on complex bearing seal failure — gathered data, connected vendors with senior leadership, and implemented countermeasures within weeks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Evaluated 50+ detailed technical documents to develop formal bid analyses for review by Principal Engineers; updated KBR's cooling tower technical standards to comply with new US government regulations</w:t>
      </w:r>
    </w:p>
    <w:p>
      <w:pPr>
        <w:spacing w:after="20" w:before="160" w:line="259" w:lineRule="auto"/>
      </w:pPr>
      <w:r>
        <w:rPr>
          <w:rFonts w:ascii="Calibri" w:hAnsi="Calibri"/>
          <w:b/>
          <w:i w:val="0"/>
          <w:color w:val="1A1A2E"/>
          <w:sz w:val="21"/>
        </w:rPr>
        <w:t>B&amp;K Vibro, Metrix Instrument Co., Texas A&amp;M — Texas</w:t>
      </w:r>
      <w:r>
        <w:rPr>
          <w:rFonts w:ascii="Calibri" w:hAnsi="Calibri"/>
          <w:b w:val="0"/>
          <w:i w:val="0"/>
          <w:color w:val="555555"/>
          <w:sz w:val="19"/>
        </w:rPr>
        <w:t xml:space="preserve">  —  </w:t>
      </w:r>
    </w:p>
    <w:p>
      <w:pPr>
        <w:spacing w:after="40" w:before="0" w:line="259" w:lineRule="auto"/>
      </w:pPr>
      <w:r>
        <w:rPr>
          <w:rFonts w:ascii="Calibri" w:hAnsi="Calibri"/>
          <w:b w:val="0"/>
          <w:i/>
          <w:color w:val="1A1A2E"/>
          <w:sz w:val="20"/>
        </w:rPr>
        <w:t>Sales Engineer / Inside Technical Sales / IT Support / CAD-CAM Programmer</w:t>
      </w:r>
      <w:r>
        <w:rPr>
          <w:rFonts w:ascii="Calibri" w:hAnsi="Calibri"/>
          <w:b w:val="0"/>
          <w:i w:val="0"/>
          <w:color w:val="777777"/>
          <w:sz w:val="19"/>
        </w:rPr>
        <w:t xml:space="preserve">  |  2005 – 2012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Developed and managed a Texas/Louisiana sales territory for B&amp;K Vibro; delivered vibration analysis and product training to 100+ clients and 20+ employees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Managed 200+ client accounts and processed thousands of orders at Metrix Instrument Company — maintained highest data entry accuracy (&gt;1,000 records) among service team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Achieved Vibration Analyst Level 2 certification through self-study; trained internal personnel on vibration data analysis and problem-solving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Mastered and integrated 3D modeling software into legacy systems — incorporated CAD, CAM, MS Access, and Excel into one cohesive process; developed SOPs and trained majority Spanish-speaking staff</w:t>
      </w:r>
    </w:p>
    <w:p>
      <w:pPr>
        <w:spacing w:after="0" w:before="0" w:line="259" w:lineRule="auto"/>
        <w:ind w:left="288" w:hanging="216"/>
      </w:pPr>
      <w:r>
        <w:rPr>
          <w:rFonts w:ascii="Calibri" w:hAnsi="Calibri"/>
          <w:b w:val="0"/>
          <w:i w:val="0"/>
          <w:color w:val="1A5C6E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Provided IT support at Texas A&amp;M University Help Desk; promoted to Lead Specialist</w:t>
      </w:r>
    </w:p>
    <w:p>
      <w:pPr>
        <w:spacing w:after="60" w:before="200" w:line="259" w:lineRule="auto"/>
        <w:pBdr>
          <w:bottom w:val="single" w:sz="4" w:space="2" w:color="999999"/>
        </w:pBdr>
      </w:pPr>
      <w:r>
        <w:rPr>
          <w:rFonts w:ascii="Calibri" w:hAnsi="Calibri"/>
          <w:b/>
          <w:i w:val="0"/>
          <w:color w:val="1A1A2E"/>
          <w:sz w:val="21"/>
        </w:rPr>
        <w:t>TECHNICAL SKILLS</w:t>
      </w:r>
    </w:p>
    <w:p>
      <w:pPr>
        <w:spacing w:after="40" w:before="40" w:line="300" w:lineRule="auto"/>
      </w:pPr>
      <w:r>
        <w:rPr>
          <w:rFonts w:ascii="Calibri" w:hAnsi="Calibri"/>
          <w:b/>
          <w:i w:val="0"/>
          <w:sz w:val="20"/>
        </w:rPr>
        <w:t>Past Performance Analysis</w:t>
      </w:r>
      <w:r>
        <w:rPr>
          <w:rFonts w:ascii="Calibri" w:hAnsi="Calibri"/>
          <w:b w:val="0"/>
          <w:i w:val="0"/>
          <w:sz w:val="19"/>
        </w:rPr>
        <w:t xml:space="preserve">  |  Adverse Performance Narratives  |  Compliance Review  |  Proposal Management  |  Capture Support  |  Contract Strengths Analysis</w:t>
      </w:r>
    </w:p>
    <w:p>
      <w:pPr>
        <w:spacing w:after="40" w:line="300" w:lineRule="auto"/>
      </w:pPr>
      <w:r>
        <w:rPr>
          <w:rFonts w:ascii="Calibri" w:hAnsi="Calibri"/>
          <w:b/>
          <w:i w:val="0"/>
          <w:sz w:val="20"/>
        </w:rPr>
        <w:t xml:space="preserve">Tools: </w:t>
      </w:r>
      <w:r>
        <w:rPr>
          <w:rFonts w:ascii="Calibri" w:hAnsi="Calibri"/>
          <w:b w:val="0"/>
          <w:i w:val="0"/>
          <w:sz w:val="19"/>
        </w:rPr>
        <w:t>Salesforce CRM  |  MS PowerBI  |  MS Project  |  MS Excel  |  MS SharePoint  |  MS Teams  |  Trello  |  Adobe Acrobat Pro  |  Google Suite  |  DocuSign</w:t>
      </w:r>
    </w:p>
    <w:p>
      <w:pPr>
        <w:spacing w:after="60" w:before="200" w:line="259" w:lineRule="auto"/>
        <w:pBdr>
          <w:bottom w:val="single" w:sz="4" w:space="2" w:color="999999"/>
        </w:pBdr>
      </w:pPr>
      <w:r>
        <w:rPr>
          <w:rFonts w:ascii="Calibri" w:hAnsi="Calibri"/>
          <w:b/>
          <w:i w:val="0"/>
          <w:color w:val="1A1A2E"/>
          <w:sz w:val="21"/>
        </w:rPr>
        <w:t>EDUCATION &amp; CERTIFICATIONS</w:t>
      </w:r>
    </w:p>
    <w:p>
      <w:pPr>
        <w:spacing w:after="20" w:before="40" w:line="276" w:lineRule="auto"/>
      </w:pPr>
      <w:r>
        <w:rPr>
          <w:rFonts w:ascii="Calibri" w:hAnsi="Calibri"/>
          <w:b/>
          <w:i w:val="0"/>
          <w:color w:val="1A1A2E"/>
          <w:sz w:val="20"/>
        </w:rPr>
        <w:t>Texas A&amp;M University</w:t>
      </w:r>
      <w:r>
        <w:rPr>
          <w:rFonts w:ascii="Calibri" w:hAnsi="Calibri"/>
          <w:b w:val="0"/>
          <w:i w:val="0"/>
          <w:sz w:val="19"/>
        </w:rPr>
        <w:t xml:space="preserve">  —  College Station, TX  |  B.S. Manufacturing &amp; Mechanical Engineering Technology (MMET)  |  Dean's List, 2010</w:t>
      </w:r>
    </w:p>
    <w:p>
      <w:pPr>
        <w:spacing w:after="20" w:line="276" w:lineRule="auto"/>
      </w:pPr>
      <w:r>
        <w:rPr>
          <w:rFonts w:ascii="Calibri" w:hAnsi="Calibri"/>
          <w:b w:val="0"/>
          <w:i w:val="0"/>
          <w:sz w:val="19"/>
        </w:rPr>
        <w:t>APMP Foundations Certified</w:t>
      </w:r>
      <w:r>
        <w:rPr>
          <w:rFonts w:ascii="Calibri" w:hAnsi="Calibri"/>
          <w:b w:val="0"/>
          <w:i w:val="0"/>
          <w:sz w:val="19"/>
        </w:rPr>
        <w:t xml:space="preserve">  |  Vibration Analyst Level 2</w:t>
      </w:r>
    </w:p>
    <w:sectPr w:rsidR="00FC693F" w:rsidRPr="0006063C" w:rsidSect="00034616">
      <w:pgSz w:w="12240" w:h="15840"/>
      <w:pgMar w:top="720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