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08368" w14:textId="77777777" w:rsidR="00EA10D0" w:rsidRDefault="00EA10D0" w:rsidP="00F86E68">
      <w:pPr>
        <w:jc w:val="both"/>
        <w:rPr>
          <w:b/>
        </w:rPr>
      </w:pPr>
    </w:p>
    <w:p w14:paraId="42DE2544" w14:textId="77777777" w:rsidR="00EA10D0" w:rsidRDefault="00EA10D0" w:rsidP="00F86E68">
      <w:pPr>
        <w:jc w:val="both"/>
        <w:rPr>
          <w:b/>
        </w:rPr>
      </w:pPr>
    </w:p>
    <w:p w14:paraId="5F487E8A" w14:textId="77777777" w:rsidR="00EA10D0" w:rsidRDefault="00EA10D0" w:rsidP="00EA10D0">
      <w:pPr>
        <w:jc w:val="center"/>
        <w:rPr>
          <w:b/>
        </w:rPr>
      </w:pPr>
    </w:p>
    <w:p w14:paraId="7B2B4FFE" w14:textId="3649027D" w:rsidR="00EA10D0" w:rsidRDefault="00EA10D0" w:rsidP="00EA10D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C457E2" wp14:editId="0445C089">
            <wp:extent cx="5486400" cy="40343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B7A3" w14:textId="77777777" w:rsidR="00EA10D0" w:rsidRDefault="00EA10D0" w:rsidP="00F86E68">
      <w:pPr>
        <w:jc w:val="both"/>
        <w:rPr>
          <w:b/>
        </w:rPr>
      </w:pPr>
    </w:p>
    <w:p w14:paraId="5C3A9ECF" w14:textId="19640673" w:rsidR="00EA10D0" w:rsidRPr="00A137B5" w:rsidRDefault="00A137B5" w:rsidP="00A137B5">
      <w:pPr>
        <w:spacing w:line="360" w:lineRule="auto"/>
        <w:jc w:val="center"/>
        <w:rPr>
          <w:sz w:val="18"/>
          <w:szCs w:val="18"/>
        </w:rPr>
      </w:pPr>
      <w:r w:rsidRPr="005D5812">
        <w:rPr>
          <w:sz w:val="18"/>
          <w:szCs w:val="18"/>
        </w:rPr>
        <w:t xml:space="preserve">Figure 1. Overall flow of mandatory condition counts for </w:t>
      </w:r>
      <w:r>
        <w:rPr>
          <w:sz w:val="18"/>
          <w:szCs w:val="18"/>
        </w:rPr>
        <w:t xml:space="preserve">potential important </w:t>
      </w:r>
      <w:r w:rsidRPr="005D5812">
        <w:rPr>
          <w:sz w:val="18"/>
          <w:szCs w:val="18"/>
        </w:rPr>
        <w:t>fault estimation</w:t>
      </w:r>
    </w:p>
    <w:p w14:paraId="4FEB46D6" w14:textId="77777777" w:rsidR="00EA10D0" w:rsidRDefault="00EA10D0" w:rsidP="00F86E68">
      <w:pPr>
        <w:jc w:val="both"/>
        <w:rPr>
          <w:b/>
        </w:rPr>
      </w:pPr>
    </w:p>
    <w:p w14:paraId="630DD990" w14:textId="13C5B735" w:rsidR="000E75A6" w:rsidRPr="004E2C9B" w:rsidRDefault="00881A74" w:rsidP="00F86E68">
      <w:pPr>
        <w:jc w:val="both"/>
        <w:rPr>
          <w:b/>
        </w:rPr>
      </w:pPr>
      <w:r>
        <w:rPr>
          <w:b/>
        </w:rPr>
        <w:t xml:space="preserve">4. </w:t>
      </w:r>
      <w:r w:rsidR="001E3A9A" w:rsidRPr="004E2C9B">
        <w:rPr>
          <w:b/>
        </w:rPr>
        <w:t>Experimental Setup</w:t>
      </w:r>
    </w:p>
    <w:p w14:paraId="25606552" w14:textId="4F944CB0" w:rsidR="001E3A9A" w:rsidRDefault="001E3A9A" w:rsidP="00F86E68">
      <w:pPr>
        <w:jc w:val="both"/>
        <w:rPr>
          <w:lang w:eastAsia="zh-CN"/>
        </w:rPr>
      </w:pPr>
      <w:r>
        <w:t>To obtain faults prediction, our experiments consisted of two primary portion</w:t>
      </w:r>
      <w:r w:rsidR="004E2C9B">
        <w:t>s</w:t>
      </w:r>
      <w:r>
        <w:t xml:space="preserve"> </w:t>
      </w:r>
      <w:r>
        <w:rPr>
          <w:rFonts w:hint="eastAsia"/>
          <w:lang w:eastAsia="zh-CN"/>
        </w:rPr>
        <w:t>——</w:t>
      </w:r>
    </w:p>
    <w:p w14:paraId="7E1BC5DD" w14:textId="135A4C0B" w:rsidR="001E3A9A" w:rsidRDefault="001E3A9A" w:rsidP="00F86E68">
      <w:pPr>
        <w:jc w:val="both"/>
      </w:pPr>
      <w:proofErr w:type="gramStart"/>
      <w:r>
        <w:t>fault</w:t>
      </w:r>
      <w:proofErr w:type="gramEnd"/>
      <w:r>
        <w:t xml:space="preserve"> detections</w:t>
      </w:r>
      <w:r w:rsidR="00800104">
        <w:t xml:space="preserve"> were</w:t>
      </w:r>
      <w:r>
        <w:t xml:space="preserve">  achieved  by  a fault simulation employed</w:t>
      </w:r>
      <w:r w:rsidR="004E2C9B">
        <w:t xml:space="preserve"> “good state”</w:t>
      </w:r>
      <w:r>
        <w:t xml:space="preserve"> patterns</w:t>
      </w:r>
      <w:r w:rsidR="00800104">
        <w:t xml:space="preserve"> </w:t>
      </w:r>
      <w:r w:rsidR="001D1EA1">
        <w:t xml:space="preserve">(the same method described in the paper </w:t>
      </w:r>
      <w:r w:rsidR="004E2C9B">
        <w:t>[1]</w:t>
      </w:r>
      <w:r w:rsidR="001D1EA1">
        <w:t>)</w:t>
      </w:r>
      <w:r>
        <w:t>, and</w:t>
      </w:r>
      <w:r w:rsidR="000D0D6B">
        <w:t xml:space="preserve"> mandatory conditions occurred</w:t>
      </w:r>
      <w:r>
        <w:t xml:space="preserve"> </w:t>
      </w:r>
      <w:r w:rsidR="004E2C9B">
        <w:t xml:space="preserve">were </w:t>
      </w:r>
      <w:r>
        <w:t>counted</w:t>
      </w:r>
      <w:r w:rsidR="000D0D6B">
        <w:t xml:space="preserve"> through </w:t>
      </w:r>
      <w:r w:rsidR="004C27DE">
        <w:t>functional</w:t>
      </w:r>
      <w:r w:rsidR="000D0D6B">
        <w:t xml:space="preserve"> simulation.</w:t>
      </w:r>
      <w:r w:rsidR="00397374">
        <w:t xml:space="preserve"> </w:t>
      </w:r>
      <w:r w:rsidR="00CD01DC">
        <w:t xml:space="preserve"> The overall flow is shown in </w:t>
      </w:r>
      <w:r w:rsidR="00542B17">
        <w:t>Figure 1</w:t>
      </w:r>
      <w:r w:rsidR="00CD01DC">
        <w:t xml:space="preserve">. </w:t>
      </w:r>
    </w:p>
    <w:p w14:paraId="7C4A946E" w14:textId="77777777" w:rsidR="006214EA" w:rsidRDefault="006214EA" w:rsidP="00F86E68">
      <w:pPr>
        <w:jc w:val="both"/>
      </w:pPr>
    </w:p>
    <w:p w14:paraId="45FA9EE1" w14:textId="23122859" w:rsidR="003E390C" w:rsidRPr="008421FF" w:rsidRDefault="00881A74" w:rsidP="00F86E68">
      <w:pPr>
        <w:jc w:val="both"/>
        <w:rPr>
          <w:b/>
        </w:rPr>
      </w:pPr>
      <w:r>
        <w:rPr>
          <w:b/>
        </w:rPr>
        <w:t xml:space="preserve">4.1 </w:t>
      </w:r>
      <w:r w:rsidR="003E390C" w:rsidRPr="008421FF">
        <w:rPr>
          <w:b/>
        </w:rPr>
        <w:t>Cell-Aware-Type Faults setup</w:t>
      </w:r>
    </w:p>
    <w:p w14:paraId="439FC75F" w14:textId="3712E2FE" w:rsidR="003E390C" w:rsidRDefault="003E390C" w:rsidP="00F86E68">
      <w:pPr>
        <w:jc w:val="both"/>
      </w:pPr>
      <w:r>
        <w:t>Based upon Cell-Aware-Type Faults definition [1], we created a single circuit for each standard cell in Synopsys</w:t>
      </w:r>
      <w:r w:rsidRPr="00EB4A6F">
        <w:t>®</w:t>
      </w:r>
      <w:r>
        <w:t xml:space="preserve"> S</w:t>
      </w:r>
      <w:r w:rsidRPr="003E390C">
        <w:t>AED_EDK90_CORE Digital Standard Cell Library</w:t>
      </w:r>
      <w:r>
        <w:t xml:space="preserve">, a set of ATPG patterns </w:t>
      </w:r>
      <w:r w:rsidR="007447CF">
        <w:t>would</w:t>
      </w:r>
      <w:r>
        <w:t xml:space="preserve"> be generated by </w:t>
      </w:r>
      <w:r w:rsidRPr="00EB4A6F">
        <w:t xml:space="preserve">Mentor Graphics® </w:t>
      </w:r>
      <w:proofErr w:type="spellStart"/>
      <w:r w:rsidRPr="00EB4A6F">
        <w:t>Tessent</w:t>
      </w:r>
      <w:proofErr w:type="spellEnd"/>
      <w:r w:rsidRPr="00EB4A6F">
        <w:t>®</w:t>
      </w:r>
      <w:r>
        <w:t xml:space="preserve"> for this single circuit. </w:t>
      </w:r>
      <w:r w:rsidR="008640EE">
        <w:t xml:space="preserve">One of test patterns </w:t>
      </w:r>
      <w:r w:rsidR="007447CF">
        <w:t>which do</w:t>
      </w:r>
      <w:r w:rsidR="00E62CED">
        <w:t>es</w:t>
      </w:r>
      <w:r w:rsidR="007447CF">
        <w:t xml:space="preserve"> not exist in the set of ATPG, would be randomly chosen as the fault for this standard cell through </w:t>
      </w:r>
      <w:r w:rsidR="0052637C" w:rsidRPr="00EB4A6F">
        <w:t xml:space="preserve">Mentor Graphics® </w:t>
      </w:r>
      <w:r w:rsidR="0052637C" w:rsidRPr="0052637C">
        <w:t>User Defined Fault Models (UDFM)</w:t>
      </w:r>
      <w:r w:rsidR="007447CF">
        <w:t>.</w:t>
      </w:r>
    </w:p>
    <w:p w14:paraId="27B2DF46" w14:textId="77777777" w:rsidR="00B1337C" w:rsidRDefault="00B1337C" w:rsidP="00F86E68">
      <w:pPr>
        <w:jc w:val="both"/>
      </w:pPr>
    </w:p>
    <w:p w14:paraId="20257185" w14:textId="1DA31720" w:rsidR="008D33F6" w:rsidRPr="00EB4A6F" w:rsidRDefault="00881A74" w:rsidP="00F86E68">
      <w:pPr>
        <w:jc w:val="both"/>
        <w:rPr>
          <w:b/>
        </w:rPr>
      </w:pPr>
      <w:r>
        <w:rPr>
          <w:b/>
        </w:rPr>
        <w:t xml:space="preserve">4.2 </w:t>
      </w:r>
      <w:r w:rsidR="008D33F6">
        <w:rPr>
          <w:b/>
        </w:rPr>
        <w:t>Mandatory conditions</w:t>
      </w:r>
    </w:p>
    <w:p w14:paraId="60F53D74" w14:textId="6C0A8C7A" w:rsidR="00EB4A6F" w:rsidRDefault="00EB4A6F" w:rsidP="00F86E68">
      <w:pPr>
        <w:jc w:val="both"/>
      </w:pPr>
      <w:r w:rsidRPr="00EB4A6F">
        <w:lastRenderedPageBreak/>
        <w:t xml:space="preserve">To generate mandatory conditions, we first implemented Mentor Graphics® </w:t>
      </w:r>
      <w:proofErr w:type="spellStart"/>
      <w:r w:rsidRPr="00EB4A6F">
        <w:t>Tessent</w:t>
      </w:r>
      <w:proofErr w:type="spellEnd"/>
      <w:r w:rsidRPr="00EB4A6F">
        <w:t>® to generate n-detect test sets of patterns that detects each fault at least n times. For each fault, a fault dictionary recorded the n (or more) patterns that detect this fault.  Input and flip-flop bits that are the identical for all of the detection patterns are merged as the mandatory bits. Those input and flip-flop bits that differ at least one times are not mandatory and signed “x” as uncertain value. The procedure of generating a fault mandator</w:t>
      </w:r>
      <w:r w:rsidR="00EA10D0">
        <w:t>y condition is shown in Figure 2</w:t>
      </w:r>
      <w:r w:rsidRPr="00EB4A6F">
        <w:t>.</w:t>
      </w:r>
    </w:p>
    <w:p w14:paraId="3C53E371" w14:textId="77777777" w:rsidR="00FE6928" w:rsidRDefault="00FE6928"/>
    <w:p w14:paraId="400B7A4E" w14:textId="03987A50" w:rsidR="006214EA" w:rsidRDefault="00EA10D0">
      <w:r>
        <w:rPr>
          <w:noProof/>
        </w:rPr>
        <w:drawing>
          <wp:inline distT="0" distB="0" distL="0" distR="0" wp14:anchorId="578EEA96" wp14:editId="698738BC">
            <wp:extent cx="5486400" cy="22544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5980" w14:textId="5188B3BD" w:rsidR="00EA10D0" w:rsidRPr="005D5812" w:rsidRDefault="00EA10D0" w:rsidP="00EA10D0">
      <w:pPr>
        <w:spacing w:line="360" w:lineRule="auto"/>
        <w:jc w:val="center"/>
        <w:rPr>
          <w:sz w:val="18"/>
          <w:szCs w:val="18"/>
        </w:rPr>
      </w:pPr>
      <w:r w:rsidRPr="005D5812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5D5812">
        <w:rPr>
          <w:sz w:val="18"/>
          <w:szCs w:val="18"/>
        </w:rPr>
        <w:t xml:space="preserve">. </w:t>
      </w:r>
      <w:r>
        <w:rPr>
          <w:sz w:val="18"/>
          <w:szCs w:val="18"/>
        </w:rPr>
        <w:t>An example of fault mandatory conditions generating process</w:t>
      </w:r>
    </w:p>
    <w:p w14:paraId="135FEA6A" w14:textId="77777777" w:rsidR="006214EA" w:rsidRDefault="006214EA"/>
    <w:p w14:paraId="68B4F667" w14:textId="14BAF993" w:rsidR="00752C62" w:rsidRPr="00881A74" w:rsidRDefault="00881A74" w:rsidP="00752C62">
      <w:pPr>
        <w:pStyle w:val="Heading2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881A74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 xml:space="preserve">4.3 </w:t>
      </w:r>
      <w:r w:rsidR="00752C62" w:rsidRPr="00881A74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Mandatory Test Benches and Counts</w:t>
      </w:r>
    </w:p>
    <w:p w14:paraId="015DC708" w14:textId="77777777" w:rsidR="00752C62" w:rsidRPr="004F2C6C" w:rsidRDefault="00752C62" w:rsidP="00752C62"/>
    <w:p w14:paraId="253080C3" w14:textId="2E11A09F" w:rsidR="00117574" w:rsidRDefault="00752C62" w:rsidP="009F751C">
      <w:pPr>
        <w:spacing w:line="360" w:lineRule="auto"/>
        <w:jc w:val="both"/>
      </w:pPr>
      <w:r w:rsidRPr="00752C62">
        <w:t xml:space="preserve">Using the mandatory conditions generated above, a test bench which added a </w:t>
      </w:r>
      <w:r w:rsidR="00975CA6">
        <w:t xml:space="preserve">AND </w:t>
      </w:r>
      <w:r w:rsidRPr="00752C62">
        <w:t xml:space="preserve">gate for each particular type of fault was created for </w:t>
      </w:r>
      <w:r w:rsidR="008640EE">
        <w:t xml:space="preserve">each circuits </w:t>
      </w:r>
      <w:r w:rsidR="00397374">
        <w:t xml:space="preserve">that were examined. </w:t>
      </w:r>
      <w:r w:rsidR="00975CA6">
        <w:t>T</w:t>
      </w:r>
      <w:r w:rsidR="00145647">
        <w:t>hose AND</w:t>
      </w:r>
      <w:r w:rsidRPr="00752C62">
        <w:t xml:space="preserve"> gates that check mandatory conditions are met, and assert high if all conditions are met. They can be fed into counters to count the number of times a mandatory condition occurs. An example of such a gate (for detecting any arbitrary fault </w:t>
      </w:r>
      <w:proofErr w:type="spellStart"/>
      <w:r w:rsidR="00AE6A39">
        <w:t>i</w:t>
      </w:r>
      <w:proofErr w:type="spellEnd"/>
      <w:r w:rsidRPr="00752C62">
        <w:t xml:space="preserve"> that has n mandatory conditions) is shown </w:t>
      </w:r>
      <w:r w:rsidR="00542B17">
        <w:t>figure 3</w:t>
      </w:r>
      <w:r w:rsidRPr="00752C62">
        <w:t>.</w:t>
      </w:r>
      <w:r w:rsidR="00117574">
        <w:t xml:space="preserve"> Functional inputs have been simulated based upon this test </w:t>
      </w:r>
      <w:proofErr w:type="gramStart"/>
      <w:r w:rsidR="00117574">
        <w:t xml:space="preserve">bench </w:t>
      </w:r>
      <w:r w:rsidR="00117574" w:rsidRPr="00752C62">
        <w:t>which</w:t>
      </w:r>
      <w:proofErr w:type="gramEnd"/>
      <w:r w:rsidR="00117574" w:rsidRPr="00752C62">
        <w:t xml:space="preserve"> retrieved the mandatory counts for each circuit</w:t>
      </w:r>
      <w:r w:rsidR="00117574">
        <w:t xml:space="preserve">. For </w:t>
      </w:r>
      <w:r w:rsidR="00853823">
        <w:t xml:space="preserve">the </w:t>
      </w:r>
      <w:r w:rsidR="00117574">
        <w:t>DES</w:t>
      </w:r>
      <w:r w:rsidR="00616CA6">
        <w:t>-56</w:t>
      </w:r>
      <w:r w:rsidR="00117574">
        <w:t xml:space="preserve"> circuit</w:t>
      </w:r>
      <w:r w:rsidR="00616CA6">
        <w:t>, the</w:t>
      </w:r>
      <w:r w:rsidR="00117574">
        <w:t xml:space="preserve"> </w:t>
      </w:r>
      <w:r w:rsidR="00616CA6">
        <w:t xml:space="preserve">ASCII format of </w:t>
      </w:r>
      <w:r w:rsidR="008263DE">
        <w:t>paper [</w:t>
      </w:r>
      <w:r w:rsidR="00117574">
        <w:t>2] as the plain text input</w:t>
      </w:r>
      <w:r w:rsidR="00616CA6">
        <w:t>ted</w:t>
      </w:r>
      <w:r w:rsidR="00117574">
        <w:t xml:space="preserve"> for encrypted</w:t>
      </w:r>
      <w:r w:rsidR="00616CA6">
        <w:t xml:space="preserve">, then </w:t>
      </w:r>
      <w:r w:rsidR="00616CA6" w:rsidRPr="00616CA6">
        <w:t>cipher</w:t>
      </w:r>
      <w:r w:rsidR="00616CA6">
        <w:t xml:space="preserve"> </w:t>
      </w:r>
      <w:r w:rsidR="00D93395" w:rsidRPr="00616CA6">
        <w:t xml:space="preserve">text </w:t>
      </w:r>
      <w:r w:rsidR="00D93395">
        <w:t>inputted</w:t>
      </w:r>
      <w:r w:rsidR="00616CA6">
        <w:t xml:space="preserve"> the DES for decrypted. During simulation, cipher keys randomly chosen for every 64 bits</w:t>
      </w:r>
      <w:r w:rsidR="00180993">
        <w:t xml:space="preserve"> of the plain text encrypted, the identical key </w:t>
      </w:r>
      <w:r w:rsidR="000F0FBB">
        <w:t>for c</w:t>
      </w:r>
      <w:r w:rsidR="000F0FBB" w:rsidRPr="00180993">
        <w:t>orresponding</w:t>
      </w:r>
      <w:r w:rsidR="000F0FBB">
        <w:t xml:space="preserve"> every 64 bits of the cipher text would</w:t>
      </w:r>
      <w:r w:rsidR="00180993">
        <w:t xml:space="preserve"> be </w:t>
      </w:r>
      <w:r w:rsidR="000F0FBB">
        <w:t xml:space="preserve">adopted for </w:t>
      </w:r>
      <w:r w:rsidR="00180993">
        <w:t>decrypted.</w:t>
      </w:r>
      <w:r w:rsidR="00610D35">
        <w:t xml:space="preserve"> Because we do not know the detail functionality of s9234 benchmark, random input assumed as normal operation during simulation.</w:t>
      </w:r>
    </w:p>
    <w:p w14:paraId="0487399E" w14:textId="0E558873" w:rsidR="006214EA" w:rsidRDefault="00F550B9">
      <w:r>
        <w:rPr>
          <w:noProof/>
        </w:rPr>
        <w:drawing>
          <wp:inline distT="0" distB="0" distL="0" distR="0" wp14:anchorId="5C8DFFB2" wp14:editId="5BA1FB63">
            <wp:extent cx="5486400" cy="1723620"/>
            <wp:effectExtent l="0" t="0" r="0" b="38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C1A2" w14:textId="03DBDD09" w:rsidR="00B33E63" w:rsidRPr="005D5812" w:rsidRDefault="00B33E63" w:rsidP="00B33E63">
      <w:pPr>
        <w:spacing w:line="360" w:lineRule="auto"/>
        <w:jc w:val="center"/>
        <w:rPr>
          <w:sz w:val="18"/>
          <w:szCs w:val="18"/>
        </w:rPr>
      </w:pPr>
      <w:r w:rsidRPr="005D5812">
        <w:rPr>
          <w:sz w:val="18"/>
          <w:szCs w:val="18"/>
        </w:rPr>
        <w:t xml:space="preserve">Figure </w:t>
      </w:r>
      <w:r>
        <w:rPr>
          <w:sz w:val="18"/>
          <w:szCs w:val="18"/>
        </w:rPr>
        <w:t>3</w:t>
      </w:r>
      <w:r w:rsidRPr="005D5812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AND-gate for fault I with n mandatory </w:t>
      </w:r>
      <w:proofErr w:type="spellStart"/>
      <w:r>
        <w:rPr>
          <w:sz w:val="18"/>
          <w:szCs w:val="18"/>
        </w:rPr>
        <w:t>condtions</w:t>
      </w:r>
      <w:proofErr w:type="spellEnd"/>
    </w:p>
    <w:p w14:paraId="52BA0324" w14:textId="77777777" w:rsidR="006214EA" w:rsidRDefault="006214EA"/>
    <w:p w14:paraId="1B53A450" w14:textId="77777777" w:rsidR="00B33E63" w:rsidRDefault="00B33E63"/>
    <w:p w14:paraId="2D72B116" w14:textId="3BFAF853" w:rsidR="006214EA" w:rsidRPr="00AB7811" w:rsidRDefault="006214EA" w:rsidP="006214EA">
      <w:pPr>
        <w:spacing w:before="3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</w:t>
      </w:r>
      <w:r w:rsidRPr="00AB7811">
        <w:rPr>
          <w:rFonts w:ascii="Times New Roman" w:hAnsi="Times New Roman" w:cs="Times New Roman"/>
          <w:sz w:val="22"/>
          <w:szCs w:val="22"/>
        </w:rPr>
        <w:t xml:space="preserve">] </w:t>
      </w:r>
      <w:hyperlink r:id="rId8" w:history="1">
        <w:proofErr w:type="spellStart"/>
        <w:r w:rsidRPr="00AB7811">
          <w:rPr>
            <w:rFonts w:ascii="Times New Roman" w:hAnsi="Times New Roman" w:cs="Times New Roman"/>
            <w:sz w:val="22"/>
            <w:szCs w:val="22"/>
          </w:rPr>
          <w:t>Fanchen</w:t>
        </w:r>
        <w:proofErr w:type="spellEnd"/>
        <w:r w:rsidRPr="00AB7811">
          <w:rPr>
            <w:rFonts w:ascii="Times New Roman" w:hAnsi="Times New Roman" w:cs="Times New Roman"/>
            <w:sz w:val="22"/>
            <w:szCs w:val="22"/>
          </w:rPr>
          <w:t> Zhang</w:t>
        </w:r>
      </w:hyperlink>
      <w:proofErr w:type="gramStart"/>
      <w:r w:rsidRPr="00AB7811">
        <w:rPr>
          <w:rFonts w:ascii="Times New Roman" w:hAnsi="Times New Roman" w:cs="Times New Roman"/>
          <w:sz w:val="22"/>
          <w:szCs w:val="22"/>
        </w:rPr>
        <w:t> ;</w:t>
      </w:r>
      <w:proofErr w:type="gramEnd"/>
      <w:r w:rsidRPr="00AB7811">
        <w:rPr>
          <w:rFonts w:ascii="Times New Roman" w:hAnsi="Times New Roman" w:cs="Times New Roman"/>
          <w:sz w:val="22"/>
          <w:szCs w:val="22"/>
        </w:rPr>
        <w:t> </w:t>
      </w:r>
      <w:hyperlink r:id="rId9" w:history="1">
        <w:r w:rsidRPr="00AB7811">
          <w:rPr>
            <w:rFonts w:ascii="Times New Roman" w:hAnsi="Times New Roman" w:cs="Times New Roman"/>
            <w:sz w:val="22"/>
            <w:szCs w:val="22"/>
          </w:rPr>
          <w:t>Thornton, M.</w:t>
        </w:r>
      </w:hyperlink>
      <w:r w:rsidRPr="00AB7811">
        <w:rPr>
          <w:rFonts w:ascii="Times New Roman" w:hAnsi="Times New Roman" w:cs="Times New Roman"/>
          <w:sz w:val="22"/>
          <w:szCs w:val="22"/>
        </w:rPr>
        <w:t> ; </w:t>
      </w:r>
      <w:hyperlink r:id="rId10" w:history="1">
        <w:proofErr w:type="spellStart"/>
        <w:r w:rsidRPr="00AB7811">
          <w:rPr>
            <w:rFonts w:ascii="Times New Roman" w:hAnsi="Times New Roman" w:cs="Times New Roman"/>
            <w:sz w:val="22"/>
            <w:szCs w:val="22"/>
          </w:rPr>
          <w:t>Dworak</w:t>
        </w:r>
        <w:proofErr w:type="spellEnd"/>
        <w:r w:rsidRPr="00AB7811">
          <w:rPr>
            <w:rFonts w:ascii="Times New Roman" w:hAnsi="Times New Roman" w:cs="Times New Roman"/>
            <w:sz w:val="22"/>
            <w:szCs w:val="22"/>
          </w:rPr>
          <w:t>, J.</w:t>
        </w:r>
      </w:hyperlink>
      <w:r w:rsidRPr="00AB7811">
        <w:rPr>
          <w:rFonts w:ascii="Times New Roman" w:hAnsi="Times New Roman" w:cs="Times New Roman"/>
          <w:sz w:val="22"/>
          <w:szCs w:val="22"/>
        </w:rPr>
        <w:t> </w:t>
      </w:r>
      <w:hyperlink r:id="rId11" w:history="1">
        <w:r w:rsidRPr="00AB7811">
          <w:rPr>
            <w:rFonts w:ascii="Times New Roman" w:hAnsi="Times New Roman" w:cs="Times New Roman"/>
            <w:sz w:val="22"/>
            <w:szCs w:val="22"/>
          </w:rPr>
          <w:t>North Atlantic Test Wor</w:t>
        </w:r>
        <w:r w:rsidRPr="00AB7811">
          <w:rPr>
            <w:rFonts w:ascii="Times New Roman" w:hAnsi="Times New Roman" w:cs="Times New Roman"/>
            <w:sz w:val="22"/>
            <w:szCs w:val="22"/>
          </w:rPr>
          <w:t>k</w:t>
        </w:r>
        <w:r w:rsidRPr="00AB7811">
          <w:rPr>
            <w:rFonts w:ascii="Times New Roman" w:hAnsi="Times New Roman" w:cs="Times New Roman"/>
            <w:sz w:val="22"/>
            <w:szCs w:val="22"/>
          </w:rPr>
          <w:t>shop (NATW), 2014 IEEE 23rd </w:t>
        </w:r>
      </w:hyperlink>
    </w:p>
    <w:p w14:paraId="45176461" w14:textId="1C9AEEC1" w:rsidR="006214EA" w:rsidRPr="00616CA6" w:rsidRDefault="00616CA6" w:rsidP="00616CA6">
      <w:pPr>
        <w:spacing w:before="30" w:line="360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616CA6">
        <w:rPr>
          <w:rFonts w:ascii="Times New Roman" w:hAnsi="Times New Roman" w:cs="Times New Roman"/>
          <w:sz w:val="22"/>
          <w:szCs w:val="22"/>
        </w:rPr>
        <w:t xml:space="preserve">[2] J. </w:t>
      </w:r>
      <w:proofErr w:type="spellStart"/>
      <w:r w:rsidRPr="00616CA6">
        <w:rPr>
          <w:rFonts w:ascii="Times New Roman" w:hAnsi="Times New Roman" w:cs="Times New Roman"/>
          <w:sz w:val="22"/>
          <w:szCs w:val="22"/>
        </w:rPr>
        <w:t>Dworak</w:t>
      </w:r>
      <w:proofErr w:type="spellEnd"/>
      <w:r w:rsidRPr="00616CA6">
        <w:rPr>
          <w:rFonts w:ascii="Times New Roman" w:hAnsi="Times New Roman" w:cs="Times New Roman"/>
          <w:sz w:val="22"/>
          <w:szCs w:val="22"/>
        </w:rPr>
        <w:t>, D. Dorsey, A. Wang, and M.R. Mercer, “Excitation, Observation, and ELF-MD: Optimization Criteria for High Quality Test Sets,” Proceedings of the 2004 IEEE VLSI Test Symposium (VTS’04), Napa Valley, California, April 25-29, 2004, pp. 9-15</w:t>
      </w:r>
    </w:p>
    <w:sectPr w:rsidR="006214EA" w:rsidRPr="00616CA6" w:rsidSect="00D405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82"/>
    <w:rsid w:val="0002528C"/>
    <w:rsid w:val="000D0D6B"/>
    <w:rsid w:val="000E75A6"/>
    <w:rsid w:val="000F0FBB"/>
    <w:rsid w:val="00117574"/>
    <w:rsid w:val="00145647"/>
    <w:rsid w:val="00165A56"/>
    <w:rsid w:val="00180993"/>
    <w:rsid w:val="001D1EA1"/>
    <w:rsid w:val="001E3A9A"/>
    <w:rsid w:val="001F00CE"/>
    <w:rsid w:val="00397374"/>
    <w:rsid w:val="003E390C"/>
    <w:rsid w:val="00491106"/>
    <w:rsid w:val="004C27DE"/>
    <w:rsid w:val="004E2C9B"/>
    <w:rsid w:val="0052637C"/>
    <w:rsid w:val="00542B17"/>
    <w:rsid w:val="00610D35"/>
    <w:rsid w:val="00616CA6"/>
    <w:rsid w:val="006214EA"/>
    <w:rsid w:val="006726DE"/>
    <w:rsid w:val="007447CF"/>
    <w:rsid w:val="00752C62"/>
    <w:rsid w:val="007E6D82"/>
    <w:rsid w:val="00800104"/>
    <w:rsid w:val="008263DE"/>
    <w:rsid w:val="008421FF"/>
    <w:rsid w:val="00853823"/>
    <w:rsid w:val="008640EE"/>
    <w:rsid w:val="00881A74"/>
    <w:rsid w:val="008D33F6"/>
    <w:rsid w:val="008F13D1"/>
    <w:rsid w:val="00975CA6"/>
    <w:rsid w:val="009F751C"/>
    <w:rsid w:val="00A137B5"/>
    <w:rsid w:val="00A567AE"/>
    <w:rsid w:val="00AE6A39"/>
    <w:rsid w:val="00B1337C"/>
    <w:rsid w:val="00B33E63"/>
    <w:rsid w:val="00CD01DC"/>
    <w:rsid w:val="00D405A2"/>
    <w:rsid w:val="00D93395"/>
    <w:rsid w:val="00E62CED"/>
    <w:rsid w:val="00EA10D0"/>
    <w:rsid w:val="00EB4A6F"/>
    <w:rsid w:val="00EB5BB4"/>
    <w:rsid w:val="00F31F15"/>
    <w:rsid w:val="00F550B9"/>
    <w:rsid w:val="00F86E68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8D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D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52C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2C62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0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0D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52C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52C6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mostRecentIssue.jsp?punumber=687542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ieeexplore.ieee.org/search/searchresult.jsp?searchWithin=p_Authors:.QT.Fanchen%20Zhang.QT.&amp;newsearch=true" TargetMode="External"/><Relationship Id="rId9" Type="http://schemas.openxmlformats.org/officeDocument/2006/relationships/hyperlink" Target="http://ieeexplore.ieee.org/search/searchresult.jsp?searchWithin=p_Authors:.QT.Thornton,%20M..QT.&amp;newsearch=true" TargetMode="External"/><Relationship Id="rId10" Type="http://schemas.openxmlformats.org/officeDocument/2006/relationships/hyperlink" Target="http://ieeexplore.ieee.org/search/searchresult.jsp?searchWithin=p_Authors:.QT.Dworak,%20J..QT.&amp;newsearc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534</Words>
  <Characters>3045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Zhang</dc:creator>
  <cp:keywords/>
  <dc:description/>
  <cp:lastModifiedBy>Arthur Zhang</cp:lastModifiedBy>
  <cp:revision>39</cp:revision>
  <dcterms:created xsi:type="dcterms:W3CDTF">2015-03-20T16:37:00Z</dcterms:created>
  <dcterms:modified xsi:type="dcterms:W3CDTF">2015-03-21T22:05:00Z</dcterms:modified>
  <cp:category/>
</cp:coreProperties>
</file>