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95442" w14:textId="4C2C8C5F" w:rsidR="00BD32BD" w:rsidRPr="00BD32BD" w:rsidRDefault="00BD32BD" w:rsidP="00BD32BD">
      <w:pPr>
        <w:rPr>
          <w:rFonts w:ascii="Times New Roman" w:hAnsi="Times New Roman" w:cs="Times New Roman"/>
          <w:sz w:val="24"/>
          <w:szCs w:val="24"/>
        </w:rPr>
      </w:pPr>
      <w:r w:rsidRPr="00BD32BD">
        <w:rPr>
          <w:rFonts w:ascii="Times New Roman" w:hAnsi="Times New Roman" w:cs="Times New Roman"/>
          <w:b/>
          <w:bCs/>
          <w:sz w:val="24"/>
          <w:szCs w:val="24"/>
        </w:rPr>
        <w:t>Antibody Response Patterns Across Multiple Studies and Groups</w:t>
      </w:r>
    </w:p>
    <w:p w14:paraId="72AA8E3B" w14:textId="77777777" w:rsidR="00BD32BD" w:rsidRPr="00BD32BD" w:rsidRDefault="00BD32BD" w:rsidP="00BD32BD">
      <w:pPr>
        <w:rPr>
          <w:rFonts w:ascii="Times New Roman" w:hAnsi="Times New Roman" w:cs="Times New Roman"/>
          <w:b/>
          <w:bCs/>
        </w:rPr>
      </w:pPr>
      <w:r w:rsidRPr="00BD32BD">
        <w:rPr>
          <w:rFonts w:ascii="Times New Roman" w:hAnsi="Times New Roman" w:cs="Times New Roman"/>
          <w:b/>
          <w:bCs/>
        </w:rPr>
        <w:t>Abstract</w:t>
      </w:r>
    </w:p>
    <w:p w14:paraId="25893AED" w14:textId="1F342FA6" w:rsidR="00BD32BD" w:rsidRPr="00BD32BD" w:rsidRDefault="00BD32BD" w:rsidP="00BD32BD">
      <w:pPr>
        <w:rPr>
          <w:rFonts w:ascii="Times New Roman" w:hAnsi="Times New Roman" w:cs="Times New Roman"/>
        </w:rPr>
      </w:pPr>
      <w:r w:rsidRPr="00BD32BD">
        <w:rPr>
          <w:rFonts w:ascii="Times New Roman" w:hAnsi="Times New Roman" w:cs="Times New Roman"/>
        </w:rPr>
        <w:t>This study analyzes vaccination data from five studies conducted over five years to understand patterns in antibody responses. Antibody levels were measured before and after vaccination, and the data were categorized by study year, subject participation (one-year vs. multi-year), age groups, and cross-reactivity. Key questions addressed include improvement rates in antibody response, the impact of multiple study participation, age-group differences, and cross-reactivity trends. Results revealed that 79.84% of subjects improved, with higher improvement in one-year participants (84.67%) compared to multi-year participants (77.23%). Improvement patterns varied across age groups, and the highest cross-reactivity was observed in the 2021 study.</w:t>
      </w:r>
    </w:p>
    <w:p w14:paraId="11F167BB" w14:textId="77777777" w:rsidR="00BD32BD" w:rsidRPr="00BD32BD" w:rsidRDefault="00BD32BD" w:rsidP="00BD32BD">
      <w:pPr>
        <w:rPr>
          <w:rFonts w:ascii="Times New Roman" w:hAnsi="Times New Roman" w:cs="Times New Roman"/>
          <w:b/>
          <w:bCs/>
        </w:rPr>
      </w:pPr>
      <w:r w:rsidRPr="00BD32BD">
        <w:rPr>
          <w:rFonts w:ascii="Times New Roman" w:hAnsi="Times New Roman" w:cs="Times New Roman"/>
          <w:b/>
          <w:bCs/>
        </w:rPr>
        <w:t>Introduction</w:t>
      </w:r>
    </w:p>
    <w:p w14:paraId="055FC16F" w14:textId="3014B29F" w:rsidR="00BD32BD" w:rsidRPr="00BD32BD" w:rsidRDefault="00BD32BD" w:rsidP="00BD32BD">
      <w:pPr>
        <w:rPr>
          <w:rFonts w:ascii="Times New Roman" w:hAnsi="Times New Roman" w:cs="Times New Roman"/>
        </w:rPr>
      </w:pPr>
      <w:r w:rsidRPr="00BD32BD">
        <w:rPr>
          <w:rFonts w:ascii="Times New Roman" w:hAnsi="Times New Roman" w:cs="Times New Roman"/>
        </w:rPr>
        <w:t>Vaccination is a critical tool in combating infectious diseases, with its effectiveness often assessed through antibody response studies. This report investigates antibody response improvements using data from five studies conducted over five years. The analysis focuses on improvement rates, the impact of repeated participation, age-based differences, and cross-reactivity patterns. Such insights can guide vaccine development and deployment strategies.</w:t>
      </w:r>
    </w:p>
    <w:p w14:paraId="29F1D917" w14:textId="77777777" w:rsidR="00C556E3" w:rsidRDefault="00BD32BD" w:rsidP="00BD32BD">
      <w:pPr>
        <w:rPr>
          <w:rFonts w:ascii="Times New Roman" w:hAnsi="Times New Roman" w:cs="Times New Roman"/>
          <w:b/>
          <w:bCs/>
        </w:rPr>
      </w:pPr>
      <w:r w:rsidRPr="00BD32BD">
        <w:rPr>
          <w:rFonts w:ascii="Times New Roman" w:hAnsi="Times New Roman" w:cs="Times New Roman"/>
          <w:b/>
          <w:bCs/>
        </w:rPr>
        <w:t>Methods</w:t>
      </w:r>
    </w:p>
    <w:p w14:paraId="3AF38AED" w14:textId="44D44499" w:rsidR="00BD32BD" w:rsidRPr="00BD32BD" w:rsidRDefault="00BD32BD" w:rsidP="00BD32BD">
      <w:pPr>
        <w:rPr>
          <w:rFonts w:ascii="Times New Roman" w:hAnsi="Times New Roman" w:cs="Times New Roman"/>
          <w:b/>
          <w:bCs/>
        </w:rPr>
      </w:pPr>
      <w:r w:rsidRPr="00BD32BD">
        <w:rPr>
          <w:rFonts w:ascii="Times New Roman" w:hAnsi="Times New Roman" w:cs="Times New Roman"/>
          <w:b/>
          <w:bCs/>
        </w:rPr>
        <w:t>Data Overview:</w:t>
      </w:r>
      <w:r w:rsidRPr="00BD32BD">
        <w:rPr>
          <w:rFonts w:ascii="Times New Roman" w:hAnsi="Times New Roman" w:cs="Times New Roman"/>
        </w:rPr>
        <w:br/>
        <w:t>The dataset comprises five studies conducted over five years, with antibody responses measured at various time points post-vaccination. Each subject</w:t>
      </w:r>
      <w:r w:rsidR="00C556E3">
        <w:rPr>
          <w:rFonts w:ascii="Times New Roman" w:hAnsi="Times New Roman" w:cs="Times New Roman"/>
        </w:rPr>
        <w:t xml:space="preserve"> in a study was vaccinated against a virus and their</w:t>
      </w:r>
      <w:r w:rsidRPr="00BD32BD">
        <w:rPr>
          <w:rFonts w:ascii="Times New Roman" w:hAnsi="Times New Roman" w:cs="Times New Roman"/>
        </w:rPr>
        <w:t xml:space="preserve"> blood sample was tested against multiple viruses to assess cross-reactivity.</w:t>
      </w:r>
    </w:p>
    <w:p w14:paraId="2C258B41" w14:textId="77777777" w:rsidR="00BD32BD" w:rsidRPr="00BD32BD" w:rsidRDefault="00BD32BD" w:rsidP="00BD32BD">
      <w:pPr>
        <w:rPr>
          <w:rFonts w:ascii="Times New Roman" w:hAnsi="Times New Roman" w:cs="Times New Roman"/>
        </w:rPr>
      </w:pPr>
      <w:r w:rsidRPr="00BD32BD">
        <w:rPr>
          <w:rFonts w:ascii="Times New Roman" w:hAnsi="Times New Roman" w:cs="Times New Roman"/>
          <w:b/>
          <w:bCs/>
        </w:rPr>
        <w:t>Analysis Steps:</w:t>
      </w:r>
    </w:p>
    <w:p w14:paraId="375BF855" w14:textId="6C7F635E" w:rsidR="00BD32BD" w:rsidRPr="00BD32BD" w:rsidRDefault="00BD32BD" w:rsidP="00BD32BD">
      <w:pPr>
        <w:numPr>
          <w:ilvl w:val="0"/>
          <w:numId w:val="4"/>
        </w:numPr>
        <w:rPr>
          <w:rFonts w:ascii="Times New Roman" w:hAnsi="Times New Roman" w:cs="Times New Roman"/>
        </w:rPr>
      </w:pPr>
      <w:r w:rsidRPr="00BD32BD">
        <w:rPr>
          <w:rFonts w:ascii="Times New Roman" w:hAnsi="Times New Roman" w:cs="Times New Roman"/>
          <w:b/>
          <w:bCs/>
        </w:rPr>
        <w:t>Improvement Rates:</w:t>
      </w:r>
      <w:r w:rsidRPr="00BD32BD">
        <w:rPr>
          <w:rFonts w:ascii="Times New Roman" w:hAnsi="Times New Roman" w:cs="Times New Roman"/>
        </w:rPr>
        <w:t xml:space="preserve"> Subjects' average antibody improvements were calculated by isolating their baseline </w:t>
      </w:r>
      <w:r w:rsidR="00C556E3" w:rsidRPr="00BD32BD">
        <w:rPr>
          <w:rFonts w:ascii="Times New Roman" w:hAnsi="Times New Roman" w:cs="Times New Roman"/>
        </w:rPr>
        <w:t>IDs (</w:t>
      </w:r>
      <w:r w:rsidRPr="00BD32BD">
        <w:rPr>
          <w:rFonts w:ascii="Times New Roman" w:hAnsi="Times New Roman" w:cs="Times New Roman"/>
        </w:rPr>
        <w:t>the three numbers in the subject ID) and analyzing antibody response differences from day 0 to the last study day</w:t>
      </w:r>
      <w:r w:rsidR="00C556E3">
        <w:rPr>
          <w:rFonts w:ascii="Times New Roman" w:hAnsi="Times New Roman" w:cs="Times New Roman"/>
        </w:rPr>
        <w:t xml:space="preserve"> for each virus. </w:t>
      </w:r>
      <w:r w:rsidR="004B2117">
        <w:rPr>
          <w:rFonts w:ascii="Times New Roman" w:hAnsi="Times New Roman" w:cs="Times New Roman"/>
        </w:rPr>
        <w:t xml:space="preserve">A positive difference between the measurement on the last day and day 0 indicated was defined as an improvement in antibody response. </w:t>
      </w:r>
      <w:r w:rsidR="00C556E3">
        <w:rPr>
          <w:rFonts w:ascii="Times New Roman" w:hAnsi="Times New Roman" w:cs="Times New Roman"/>
        </w:rPr>
        <w:t>Their measurement improvements were stored in an array, and the average of that improvement array was the average improvement value that was assigned to the subject. If the subject’s average improvement value was greater than 0, then the subject’s antibody response measurement was considered to have improved across all the studies that they participated in.</w:t>
      </w:r>
    </w:p>
    <w:p w14:paraId="5E52A5CD" w14:textId="77777777" w:rsidR="00BD32BD" w:rsidRPr="00BD32BD" w:rsidRDefault="00BD32BD" w:rsidP="00BD32BD">
      <w:pPr>
        <w:numPr>
          <w:ilvl w:val="0"/>
          <w:numId w:val="4"/>
        </w:numPr>
        <w:rPr>
          <w:rFonts w:ascii="Times New Roman" w:hAnsi="Times New Roman" w:cs="Times New Roman"/>
        </w:rPr>
      </w:pPr>
      <w:r w:rsidRPr="00BD32BD">
        <w:rPr>
          <w:rFonts w:ascii="Times New Roman" w:hAnsi="Times New Roman" w:cs="Times New Roman"/>
          <w:b/>
          <w:bCs/>
        </w:rPr>
        <w:t>Participation Groups:</w:t>
      </w:r>
      <w:r w:rsidRPr="00BD32BD">
        <w:rPr>
          <w:rFonts w:ascii="Times New Roman" w:hAnsi="Times New Roman" w:cs="Times New Roman"/>
        </w:rPr>
        <w:t xml:space="preserve"> Subjects were divided into one-year and multi-year groups based on study participation history.</w:t>
      </w:r>
    </w:p>
    <w:p w14:paraId="23AF89E8" w14:textId="31127A18" w:rsidR="00BD32BD" w:rsidRPr="00BD32BD" w:rsidRDefault="00BD32BD" w:rsidP="00BD32BD">
      <w:pPr>
        <w:numPr>
          <w:ilvl w:val="0"/>
          <w:numId w:val="4"/>
        </w:numPr>
        <w:rPr>
          <w:rFonts w:ascii="Times New Roman" w:hAnsi="Times New Roman" w:cs="Times New Roman"/>
        </w:rPr>
      </w:pPr>
      <w:r w:rsidRPr="00BD32BD">
        <w:rPr>
          <w:rFonts w:ascii="Times New Roman" w:hAnsi="Times New Roman" w:cs="Times New Roman"/>
          <w:b/>
          <w:bCs/>
        </w:rPr>
        <w:t>Age-Group Analysis:</w:t>
      </w:r>
      <w:r w:rsidRPr="00BD32BD">
        <w:rPr>
          <w:rFonts w:ascii="Times New Roman" w:hAnsi="Times New Roman" w:cs="Times New Roman"/>
        </w:rPr>
        <w:t xml:space="preserve"> Subjects were categorized into six age groups to assess average improvement rates.</w:t>
      </w:r>
      <w:r w:rsidR="00C556E3">
        <w:rPr>
          <w:rFonts w:ascii="Times New Roman" w:hAnsi="Times New Roman" w:cs="Times New Roman"/>
        </w:rPr>
        <w:t xml:space="preserve"> The age groups were Infants (&lt;0), Children (1-11), Adolescents (12-17), Adults (18-44), Middle-Aged Adults (45-62), and Seniors (&gt;63). </w:t>
      </w:r>
    </w:p>
    <w:p w14:paraId="4466DAC0" w14:textId="6AC64DA9" w:rsidR="00BD32BD" w:rsidRDefault="00BD32BD" w:rsidP="00BD32BD">
      <w:pPr>
        <w:numPr>
          <w:ilvl w:val="0"/>
          <w:numId w:val="4"/>
        </w:numPr>
        <w:rPr>
          <w:rFonts w:ascii="Times New Roman" w:hAnsi="Times New Roman" w:cs="Times New Roman"/>
        </w:rPr>
      </w:pPr>
      <w:r w:rsidRPr="00BD32BD">
        <w:rPr>
          <w:rFonts w:ascii="Times New Roman" w:hAnsi="Times New Roman" w:cs="Times New Roman"/>
          <w:b/>
          <w:bCs/>
        </w:rPr>
        <w:t>Cross-Reactivity Assessment:</w:t>
      </w:r>
      <w:r w:rsidRPr="00BD32BD">
        <w:rPr>
          <w:rFonts w:ascii="Times New Roman" w:hAnsi="Times New Roman" w:cs="Times New Roman"/>
        </w:rPr>
        <w:t xml:space="preserve"> Improvement rates were averaged across studies to identify the study with the highest cross-reactivity.</w:t>
      </w:r>
    </w:p>
    <w:p w14:paraId="0FFE0224" w14:textId="77777777" w:rsidR="004B2117" w:rsidRPr="00BD32BD" w:rsidRDefault="004B2117" w:rsidP="004B2117">
      <w:pPr>
        <w:ind w:left="720"/>
        <w:rPr>
          <w:rFonts w:ascii="Times New Roman" w:hAnsi="Times New Roman" w:cs="Times New Roman"/>
        </w:rPr>
      </w:pPr>
    </w:p>
    <w:p w14:paraId="5D3A03EE" w14:textId="77777777" w:rsidR="00BD32BD" w:rsidRPr="00BD32BD" w:rsidRDefault="00BD32BD" w:rsidP="00BD32BD">
      <w:pPr>
        <w:rPr>
          <w:rFonts w:ascii="Times New Roman" w:hAnsi="Times New Roman" w:cs="Times New Roman"/>
          <w:b/>
          <w:bCs/>
        </w:rPr>
      </w:pPr>
      <w:r w:rsidRPr="00BD32BD">
        <w:rPr>
          <w:rFonts w:ascii="Times New Roman" w:hAnsi="Times New Roman" w:cs="Times New Roman"/>
          <w:b/>
          <w:bCs/>
        </w:rPr>
        <w:t>Results</w:t>
      </w:r>
    </w:p>
    <w:p w14:paraId="15B59C0D" w14:textId="77777777" w:rsidR="00BD32BD" w:rsidRPr="00BD32BD" w:rsidRDefault="00BD32BD" w:rsidP="00BD32BD">
      <w:pPr>
        <w:numPr>
          <w:ilvl w:val="0"/>
          <w:numId w:val="5"/>
        </w:numPr>
        <w:rPr>
          <w:rFonts w:ascii="Times New Roman" w:hAnsi="Times New Roman" w:cs="Times New Roman"/>
        </w:rPr>
      </w:pPr>
      <w:r w:rsidRPr="00BD32BD">
        <w:rPr>
          <w:rFonts w:ascii="Times New Roman" w:hAnsi="Times New Roman" w:cs="Times New Roman"/>
          <w:b/>
          <w:bCs/>
        </w:rPr>
        <w:lastRenderedPageBreak/>
        <w:t>Improvement Rates:</w:t>
      </w:r>
    </w:p>
    <w:p w14:paraId="73306959" w14:textId="77777777" w:rsidR="00BD32BD" w:rsidRPr="00BD32BD" w:rsidRDefault="00BD32BD" w:rsidP="00BD32BD">
      <w:pPr>
        <w:numPr>
          <w:ilvl w:val="1"/>
          <w:numId w:val="5"/>
        </w:numPr>
        <w:rPr>
          <w:rFonts w:ascii="Times New Roman" w:hAnsi="Times New Roman" w:cs="Times New Roman"/>
        </w:rPr>
      </w:pPr>
      <w:r w:rsidRPr="00BD32BD">
        <w:rPr>
          <w:rFonts w:ascii="Times New Roman" w:hAnsi="Times New Roman" w:cs="Times New Roman"/>
          <w:b/>
          <w:bCs/>
        </w:rPr>
        <w:t>Overall:</w:t>
      </w:r>
      <w:r w:rsidRPr="00BD32BD">
        <w:rPr>
          <w:rFonts w:ascii="Times New Roman" w:hAnsi="Times New Roman" w:cs="Times New Roman"/>
        </w:rPr>
        <w:t xml:space="preserve"> 79.84% of subjects showed improvement in antibody response.</w:t>
      </w:r>
    </w:p>
    <w:p w14:paraId="2346783D" w14:textId="77777777" w:rsidR="00BD32BD" w:rsidRPr="00BD32BD" w:rsidRDefault="00BD32BD" w:rsidP="00BD32BD">
      <w:pPr>
        <w:numPr>
          <w:ilvl w:val="1"/>
          <w:numId w:val="5"/>
        </w:numPr>
        <w:rPr>
          <w:rFonts w:ascii="Times New Roman" w:hAnsi="Times New Roman" w:cs="Times New Roman"/>
        </w:rPr>
      </w:pPr>
      <w:r w:rsidRPr="00BD32BD">
        <w:rPr>
          <w:rFonts w:ascii="Times New Roman" w:hAnsi="Times New Roman" w:cs="Times New Roman"/>
          <w:b/>
          <w:bCs/>
        </w:rPr>
        <w:t>One-Year vs. Multi-Year Groups:</w:t>
      </w:r>
      <w:r w:rsidRPr="00BD32BD">
        <w:rPr>
          <w:rFonts w:ascii="Times New Roman" w:hAnsi="Times New Roman" w:cs="Times New Roman"/>
        </w:rPr>
        <w:t xml:space="preserve"> Improvement rates were 84.67% for one-year participants and 77.23% for multi-year participants.</w:t>
      </w:r>
    </w:p>
    <w:p w14:paraId="617F8E34" w14:textId="77777777" w:rsidR="00BD32BD" w:rsidRPr="00BD32BD" w:rsidRDefault="00BD32BD" w:rsidP="00BD32BD">
      <w:pPr>
        <w:numPr>
          <w:ilvl w:val="0"/>
          <w:numId w:val="5"/>
        </w:numPr>
        <w:rPr>
          <w:rFonts w:ascii="Times New Roman" w:hAnsi="Times New Roman" w:cs="Times New Roman"/>
        </w:rPr>
      </w:pPr>
      <w:r w:rsidRPr="00BD32BD">
        <w:rPr>
          <w:rFonts w:ascii="Times New Roman" w:hAnsi="Times New Roman" w:cs="Times New Roman"/>
          <w:b/>
          <w:bCs/>
        </w:rPr>
        <w:t>Age Group Analysis:</w:t>
      </w:r>
    </w:p>
    <w:p w14:paraId="757F5D1E" w14:textId="77777777" w:rsidR="00BD32BD" w:rsidRPr="00BD32BD" w:rsidRDefault="00BD32BD" w:rsidP="00BD32BD">
      <w:pPr>
        <w:numPr>
          <w:ilvl w:val="1"/>
          <w:numId w:val="5"/>
        </w:numPr>
        <w:rPr>
          <w:rFonts w:ascii="Times New Roman" w:hAnsi="Times New Roman" w:cs="Times New Roman"/>
        </w:rPr>
      </w:pPr>
      <w:r w:rsidRPr="00BD32BD">
        <w:rPr>
          <w:rFonts w:ascii="Times New Roman" w:hAnsi="Times New Roman" w:cs="Times New Roman"/>
        </w:rPr>
        <w:t>In the one-year group, improvement decreased as age increased.</w:t>
      </w:r>
    </w:p>
    <w:p w14:paraId="32244E3F" w14:textId="77777777" w:rsidR="00BD32BD" w:rsidRPr="00BD32BD" w:rsidRDefault="00BD32BD" w:rsidP="00BD32BD">
      <w:pPr>
        <w:numPr>
          <w:ilvl w:val="1"/>
          <w:numId w:val="5"/>
        </w:numPr>
        <w:rPr>
          <w:rFonts w:ascii="Times New Roman" w:hAnsi="Times New Roman" w:cs="Times New Roman"/>
        </w:rPr>
      </w:pPr>
      <w:r w:rsidRPr="00BD32BD">
        <w:rPr>
          <w:rFonts w:ascii="Times New Roman" w:hAnsi="Times New Roman" w:cs="Times New Roman"/>
        </w:rPr>
        <w:t>In the multi-year group, improvement increased with age but declined in seniors.</w:t>
      </w:r>
    </w:p>
    <w:p w14:paraId="35DA9497" w14:textId="77777777" w:rsidR="00BD32BD" w:rsidRPr="00BD32BD" w:rsidRDefault="00BD32BD" w:rsidP="00BD32BD">
      <w:pPr>
        <w:numPr>
          <w:ilvl w:val="0"/>
          <w:numId w:val="5"/>
        </w:numPr>
        <w:rPr>
          <w:rFonts w:ascii="Times New Roman" w:hAnsi="Times New Roman" w:cs="Times New Roman"/>
        </w:rPr>
      </w:pPr>
      <w:r w:rsidRPr="00BD32BD">
        <w:rPr>
          <w:rFonts w:ascii="Times New Roman" w:hAnsi="Times New Roman" w:cs="Times New Roman"/>
          <w:b/>
          <w:bCs/>
        </w:rPr>
        <w:t>Study-Wise Cross-Reactivity:</w:t>
      </w:r>
    </w:p>
    <w:p w14:paraId="1D832632" w14:textId="77777777" w:rsidR="00BD32BD" w:rsidRPr="00BD32BD" w:rsidRDefault="00BD32BD" w:rsidP="00BD32BD">
      <w:pPr>
        <w:numPr>
          <w:ilvl w:val="1"/>
          <w:numId w:val="5"/>
        </w:numPr>
        <w:rPr>
          <w:rFonts w:ascii="Times New Roman" w:hAnsi="Times New Roman" w:cs="Times New Roman"/>
        </w:rPr>
      </w:pPr>
      <w:r w:rsidRPr="00BD32BD">
        <w:rPr>
          <w:rFonts w:ascii="Times New Roman" w:hAnsi="Times New Roman" w:cs="Times New Roman"/>
        </w:rPr>
        <w:t>The lowest improvement was in the 2018 study, indicating low cross-reactivity.</w:t>
      </w:r>
    </w:p>
    <w:p w14:paraId="4B5D0EA0" w14:textId="77777777" w:rsidR="00BD32BD" w:rsidRDefault="00BD32BD" w:rsidP="00BD32BD">
      <w:pPr>
        <w:numPr>
          <w:ilvl w:val="1"/>
          <w:numId w:val="5"/>
        </w:numPr>
        <w:rPr>
          <w:rFonts w:ascii="Times New Roman" w:hAnsi="Times New Roman" w:cs="Times New Roman"/>
        </w:rPr>
      </w:pPr>
      <w:r w:rsidRPr="00BD32BD">
        <w:rPr>
          <w:rFonts w:ascii="Times New Roman" w:hAnsi="Times New Roman" w:cs="Times New Roman"/>
        </w:rPr>
        <w:t>The highest improvement was in the 2021 study, suggesting the highest cross-reactivity.</w:t>
      </w:r>
    </w:p>
    <w:p w14:paraId="357BD442" w14:textId="77777777" w:rsidR="004B2117" w:rsidRPr="00BD32BD" w:rsidRDefault="004B2117" w:rsidP="004B2117">
      <w:pPr>
        <w:rPr>
          <w:rFonts w:ascii="Times New Roman" w:hAnsi="Times New Roman" w:cs="Times New Roman"/>
        </w:rPr>
      </w:pPr>
    </w:p>
    <w:p w14:paraId="3766DAD0" w14:textId="67B2D9DE" w:rsidR="00D63A29" w:rsidRDefault="00C556E3">
      <w:pPr>
        <w:rPr>
          <w:rFonts w:ascii="Times New Roman" w:hAnsi="Times New Roman" w:cs="Times New Roman"/>
          <w:b/>
          <w:bCs/>
        </w:rPr>
      </w:pPr>
      <w:r w:rsidRPr="00C556E3">
        <w:rPr>
          <w:rFonts w:ascii="Times New Roman" w:hAnsi="Times New Roman" w:cs="Times New Roman"/>
          <w:noProof/>
        </w:rPr>
        <w:drawing>
          <wp:anchor distT="0" distB="0" distL="114300" distR="114300" simplePos="0" relativeHeight="251658240" behindDoc="0" locked="0" layoutInCell="1" allowOverlap="1" wp14:anchorId="4E77D2D0" wp14:editId="5D190DD7">
            <wp:simplePos x="0" y="0"/>
            <wp:positionH relativeFrom="column">
              <wp:posOffset>0</wp:posOffset>
            </wp:positionH>
            <wp:positionV relativeFrom="paragraph">
              <wp:posOffset>-1039</wp:posOffset>
            </wp:positionV>
            <wp:extent cx="6232839" cy="1461654"/>
            <wp:effectExtent l="0" t="0" r="0" b="5715"/>
            <wp:wrapSquare wrapText="bothSides"/>
            <wp:docPr id="334347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4782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32839" cy="1461654"/>
                    </a:xfrm>
                    <a:prstGeom prst="rect">
                      <a:avLst/>
                    </a:prstGeom>
                  </pic:spPr>
                </pic:pic>
              </a:graphicData>
            </a:graphic>
          </wp:anchor>
        </w:drawing>
      </w:r>
      <w:r>
        <w:rPr>
          <w:rFonts w:ascii="Times New Roman" w:hAnsi="Times New Roman" w:cs="Times New Roman"/>
          <w:b/>
          <w:bCs/>
        </w:rPr>
        <w:t>Improvement of Each Age Group in One-Year and Multi-Year groups</w:t>
      </w:r>
    </w:p>
    <w:p w14:paraId="0FA775A3" w14:textId="77777777" w:rsidR="00C556E3" w:rsidRPr="00C556E3" w:rsidRDefault="00C556E3">
      <w:pPr>
        <w:rPr>
          <w:rFonts w:ascii="Times New Roman" w:hAnsi="Times New Roman" w:cs="Times New Roman"/>
          <w:b/>
          <w:bCs/>
        </w:rPr>
      </w:pPr>
    </w:p>
    <w:p w14:paraId="0AEA06A2" w14:textId="068BA44F" w:rsidR="00CB31DD" w:rsidRDefault="00CB31DD">
      <w:pPr>
        <w:rPr>
          <w:rFonts w:ascii="Times New Roman" w:hAnsi="Times New Roman" w:cs="Times New Roman"/>
        </w:rPr>
      </w:pPr>
      <w:r w:rsidRPr="00CB31DD">
        <w:rPr>
          <w:rFonts w:ascii="Times New Roman" w:hAnsi="Times New Roman" w:cs="Times New Roman"/>
          <w:noProof/>
        </w:rPr>
        <w:drawing>
          <wp:inline distT="0" distB="0" distL="0" distR="0" wp14:anchorId="0017401A" wp14:editId="0FFB1041">
            <wp:extent cx="4646295" cy="2268220"/>
            <wp:effectExtent l="0" t="0" r="1905" b="0"/>
            <wp:docPr id="14310214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21408" name="Picture 1"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46295" cy="2268220"/>
                    </a:xfrm>
                    <a:prstGeom prst="rect">
                      <a:avLst/>
                    </a:prstGeom>
                  </pic:spPr>
                </pic:pic>
              </a:graphicData>
            </a:graphic>
          </wp:inline>
        </w:drawing>
      </w:r>
    </w:p>
    <w:p w14:paraId="1D68A6FB" w14:textId="2D95731D" w:rsidR="00C556E3" w:rsidRPr="00C556E3" w:rsidRDefault="00C556E3">
      <w:pPr>
        <w:rPr>
          <w:rFonts w:ascii="Times New Roman" w:hAnsi="Times New Roman" w:cs="Times New Roman"/>
          <w:b/>
          <w:bCs/>
        </w:rPr>
      </w:pPr>
      <w:r>
        <w:rPr>
          <w:rFonts w:ascii="Times New Roman" w:hAnsi="Times New Roman" w:cs="Times New Roman"/>
          <w:b/>
          <w:bCs/>
        </w:rPr>
        <w:t>Improvement Across Studies</w:t>
      </w:r>
    </w:p>
    <w:sectPr w:rsidR="00C556E3" w:rsidRPr="00C5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49B3"/>
    <w:multiLevelType w:val="multilevel"/>
    <w:tmpl w:val="240A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A2A31"/>
    <w:multiLevelType w:val="multilevel"/>
    <w:tmpl w:val="ACE6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D586E"/>
    <w:multiLevelType w:val="hybridMultilevel"/>
    <w:tmpl w:val="E45E6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B1F1A"/>
    <w:multiLevelType w:val="multilevel"/>
    <w:tmpl w:val="D2B8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C6DBC"/>
    <w:multiLevelType w:val="hybridMultilevel"/>
    <w:tmpl w:val="858E0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098668">
    <w:abstractNumId w:val="2"/>
  </w:num>
  <w:num w:numId="2" w16cid:durableId="1451851355">
    <w:abstractNumId w:val="4"/>
  </w:num>
  <w:num w:numId="3" w16cid:durableId="601885882">
    <w:abstractNumId w:val="0"/>
  </w:num>
  <w:num w:numId="4" w16cid:durableId="1345396607">
    <w:abstractNumId w:val="1"/>
  </w:num>
  <w:num w:numId="5" w16cid:durableId="1278952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03"/>
    <w:rsid w:val="0006553A"/>
    <w:rsid w:val="00160570"/>
    <w:rsid w:val="001C4BC8"/>
    <w:rsid w:val="002D5016"/>
    <w:rsid w:val="0032062C"/>
    <w:rsid w:val="003329A1"/>
    <w:rsid w:val="004B2117"/>
    <w:rsid w:val="004D78E9"/>
    <w:rsid w:val="00530B37"/>
    <w:rsid w:val="00670F37"/>
    <w:rsid w:val="006B5755"/>
    <w:rsid w:val="00730F8E"/>
    <w:rsid w:val="00813386"/>
    <w:rsid w:val="008B23CD"/>
    <w:rsid w:val="008B286E"/>
    <w:rsid w:val="008F027A"/>
    <w:rsid w:val="00914650"/>
    <w:rsid w:val="009346A3"/>
    <w:rsid w:val="009579B1"/>
    <w:rsid w:val="00BD32BD"/>
    <w:rsid w:val="00C245F5"/>
    <w:rsid w:val="00C436D8"/>
    <w:rsid w:val="00C5430C"/>
    <w:rsid w:val="00C556E3"/>
    <w:rsid w:val="00CB31DD"/>
    <w:rsid w:val="00D63A29"/>
    <w:rsid w:val="00D90690"/>
    <w:rsid w:val="00E22C03"/>
    <w:rsid w:val="00E42F43"/>
    <w:rsid w:val="00E46F33"/>
    <w:rsid w:val="00EA0E51"/>
    <w:rsid w:val="00EF624D"/>
    <w:rsid w:val="00FC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1F78"/>
  <w15:chartTrackingRefBased/>
  <w15:docId w15:val="{2413667E-4FC7-4389-A037-57D2DFCD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C03"/>
    <w:rPr>
      <w:rFonts w:eastAsiaTheme="majorEastAsia" w:cstheme="majorBidi"/>
      <w:color w:val="272727" w:themeColor="text1" w:themeTint="D8"/>
    </w:rPr>
  </w:style>
  <w:style w:type="paragraph" w:styleId="Title">
    <w:name w:val="Title"/>
    <w:basedOn w:val="Normal"/>
    <w:next w:val="Normal"/>
    <w:link w:val="TitleChar"/>
    <w:uiPriority w:val="10"/>
    <w:qFormat/>
    <w:rsid w:val="00E22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C03"/>
    <w:pPr>
      <w:spacing w:before="160"/>
      <w:jc w:val="center"/>
    </w:pPr>
    <w:rPr>
      <w:i/>
      <w:iCs/>
      <w:color w:val="404040" w:themeColor="text1" w:themeTint="BF"/>
    </w:rPr>
  </w:style>
  <w:style w:type="character" w:customStyle="1" w:styleId="QuoteChar">
    <w:name w:val="Quote Char"/>
    <w:basedOn w:val="DefaultParagraphFont"/>
    <w:link w:val="Quote"/>
    <w:uiPriority w:val="29"/>
    <w:rsid w:val="00E22C03"/>
    <w:rPr>
      <w:i/>
      <w:iCs/>
      <w:color w:val="404040" w:themeColor="text1" w:themeTint="BF"/>
    </w:rPr>
  </w:style>
  <w:style w:type="paragraph" w:styleId="ListParagraph">
    <w:name w:val="List Paragraph"/>
    <w:basedOn w:val="Normal"/>
    <w:uiPriority w:val="34"/>
    <w:qFormat/>
    <w:rsid w:val="00E22C03"/>
    <w:pPr>
      <w:ind w:left="720"/>
      <w:contextualSpacing/>
    </w:pPr>
  </w:style>
  <w:style w:type="character" w:styleId="IntenseEmphasis">
    <w:name w:val="Intense Emphasis"/>
    <w:basedOn w:val="DefaultParagraphFont"/>
    <w:uiPriority w:val="21"/>
    <w:qFormat/>
    <w:rsid w:val="00E22C03"/>
    <w:rPr>
      <w:i/>
      <w:iCs/>
      <w:color w:val="0F4761" w:themeColor="accent1" w:themeShade="BF"/>
    </w:rPr>
  </w:style>
  <w:style w:type="paragraph" w:styleId="IntenseQuote">
    <w:name w:val="Intense Quote"/>
    <w:basedOn w:val="Normal"/>
    <w:next w:val="Normal"/>
    <w:link w:val="IntenseQuoteChar"/>
    <w:uiPriority w:val="30"/>
    <w:qFormat/>
    <w:rsid w:val="00E22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C03"/>
    <w:rPr>
      <w:i/>
      <w:iCs/>
      <w:color w:val="0F4761" w:themeColor="accent1" w:themeShade="BF"/>
    </w:rPr>
  </w:style>
  <w:style w:type="character" w:styleId="IntenseReference">
    <w:name w:val="Intense Reference"/>
    <w:basedOn w:val="DefaultParagraphFont"/>
    <w:uiPriority w:val="32"/>
    <w:qFormat/>
    <w:rsid w:val="00E22C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84600">
      <w:bodyDiv w:val="1"/>
      <w:marLeft w:val="0"/>
      <w:marRight w:val="0"/>
      <w:marTop w:val="0"/>
      <w:marBottom w:val="0"/>
      <w:divBdr>
        <w:top w:val="none" w:sz="0" w:space="0" w:color="auto"/>
        <w:left w:val="none" w:sz="0" w:space="0" w:color="auto"/>
        <w:bottom w:val="none" w:sz="0" w:space="0" w:color="auto"/>
        <w:right w:val="none" w:sz="0" w:space="0" w:color="auto"/>
      </w:divBdr>
    </w:div>
    <w:div w:id="331641609">
      <w:bodyDiv w:val="1"/>
      <w:marLeft w:val="0"/>
      <w:marRight w:val="0"/>
      <w:marTop w:val="0"/>
      <w:marBottom w:val="0"/>
      <w:divBdr>
        <w:top w:val="none" w:sz="0" w:space="0" w:color="auto"/>
        <w:left w:val="none" w:sz="0" w:space="0" w:color="auto"/>
        <w:bottom w:val="none" w:sz="0" w:space="0" w:color="auto"/>
        <w:right w:val="none" w:sz="0" w:space="0" w:color="auto"/>
      </w:divBdr>
    </w:div>
    <w:div w:id="712074532">
      <w:bodyDiv w:val="1"/>
      <w:marLeft w:val="0"/>
      <w:marRight w:val="0"/>
      <w:marTop w:val="0"/>
      <w:marBottom w:val="0"/>
      <w:divBdr>
        <w:top w:val="none" w:sz="0" w:space="0" w:color="auto"/>
        <w:left w:val="none" w:sz="0" w:space="0" w:color="auto"/>
        <w:bottom w:val="none" w:sz="0" w:space="0" w:color="auto"/>
        <w:right w:val="none" w:sz="0" w:space="0" w:color="auto"/>
      </w:divBdr>
    </w:div>
    <w:div w:id="862015064">
      <w:bodyDiv w:val="1"/>
      <w:marLeft w:val="0"/>
      <w:marRight w:val="0"/>
      <w:marTop w:val="0"/>
      <w:marBottom w:val="0"/>
      <w:divBdr>
        <w:top w:val="none" w:sz="0" w:space="0" w:color="auto"/>
        <w:left w:val="none" w:sz="0" w:space="0" w:color="auto"/>
        <w:bottom w:val="none" w:sz="0" w:space="0" w:color="auto"/>
        <w:right w:val="none" w:sz="0" w:space="0" w:color="auto"/>
      </w:divBdr>
    </w:div>
    <w:div w:id="987369387">
      <w:bodyDiv w:val="1"/>
      <w:marLeft w:val="0"/>
      <w:marRight w:val="0"/>
      <w:marTop w:val="0"/>
      <w:marBottom w:val="0"/>
      <w:divBdr>
        <w:top w:val="none" w:sz="0" w:space="0" w:color="auto"/>
        <w:left w:val="none" w:sz="0" w:space="0" w:color="auto"/>
        <w:bottom w:val="none" w:sz="0" w:space="0" w:color="auto"/>
        <w:right w:val="none" w:sz="0" w:space="0" w:color="auto"/>
      </w:divBdr>
    </w:div>
    <w:div w:id="1383554287">
      <w:bodyDiv w:val="1"/>
      <w:marLeft w:val="0"/>
      <w:marRight w:val="0"/>
      <w:marTop w:val="0"/>
      <w:marBottom w:val="0"/>
      <w:divBdr>
        <w:top w:val="none" w:sz="0" w:space="0" w:color="auto"/>
        <w:left w:val="none" w:sz="0" w:space="0" w:color="auto"/>
        <w:bottom w:val="none" w:sz="0" w:space="0" w:color="auto"/>
        <w:right w:val="none" w:sz="0" w:space="0" w:color="auto"/>
      </w:divBdr>
    </w:div>
    <w:div w:id="1712877411">
      <w:bodyDiv w:val="1"/>
      <w:marLeft w:val="0"/>
      <w:marRight w:val="0"/>
      <w:marTop w:val="0"/>
      <w:marBottom w:val="0"/>
      <w:divBdr>
        <w:top w:val="none" w:sz="0" w:space="0" w:color="auto"/>
        <w:left w:val="none" w:sz="0" w:space="0" w:color="auto"/>
        <w:bottom w:val="none" w:sz="0" w:space="0" w:color="auto"/>
        <w:right w:val="none" w:sz="0" w:space="0" w:color="auto"/>
      </w:divBdr>
    </w:div>
    <w:div w:id="1951352888">
      <w:bodyDiv w:val="1"/>
      <w:marLeft w:val="0"/>
      <w:marRight w:val="0"/>
      <w:marTop w:val="0"/>
      <w:marBottom w:val="0"/>
      <w:divBdr>
        <w:top w:val="none" w:sz="0" w:space="0" w:color="auto"/>
        <w:left w:val="none" w:sz="0" w:space="0" w:color="auto"/>
        <w:bottom w:val="none" w:sz="0" w:space="0" w:color="auto"/>
        <w:right w:val="none" w:sz="0" w:space="0" w:color="auto"/>
      </w:divBdr>
    </w:div>
    <w:div w:id="2077702990">
      <w:bodyDiv w:val="1"/>
      <w:marLeft w:val="0"/>
      <w:marRight w:val="0"/>
      <w:marTop w:val="0"/>
      <w:marBottom w:val="0"/>
      <w:divBdr>
        <w:top w:val="none" w:sz="0" w:space="0" w:color="auto"/>
        <w:left w:val="none" w:sz="0" w:space="0" w:color="auto"/>
        <w:bottom w:val="none" w:sz="0" w:space="0" w:color="auto"/>
        <w:right w:val="none" w:sz="0" w:space="0" w:color="auto"/>
      </w:divBdr>
    </w:div>
    <w:div w:id="2110420128">
      <w:bodyDiv w:val="1"/>
      <w:marLeft w:val="0"/>
      <w:marRight w:val="0"/>
      <w:marTop w:val="0"/>
      <w:marBottom w:val="0"/>
      <w:divBdr>
        <w:top w:val="none" w:sz="0" w:space="0" w:color="auto"/>
        <w:left w:val="none" w:sz="0" w:space="0" w:color="auto"/>
        <w:bottom w:val="none" w:sz="0" w:space="0" w:color="auto"/>
        <w:right w:val="none" w:sz="0" w:space="0" w:color="auto"/>
      </w:divBdr>
    </w:div>
    <w:div w:id="21330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2746</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Nallacheruvu, Akhil</dc:creator>
  <cp:keywords/>
  <dc:description/>
  <cp:lastModifiedBy>Nallacheruvu, Akhil</cp:lastModifiedBy>
  <cp:revision>4</cp:revision>
  <dcterms:created xsi:type="dcterms:W3CDTF">2024-11-20T01:27:00Z</dcterms:created>
  <dcterms:modified xsi:type="dcterms:W3CDTF">2024-12-13T14:41:00Z</dcterms:modified>
</cp:coreProperties>
</file>