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D18AC" w14:textId="77777777" w:rsidR="002D5D63" w:rsidRPr="002D5D63" w:rsidRDefault="002D5D63" w:rsidP="002D5D63">
      <w:pPr>
        <w:jc w:val="center"/>
        <w:rPr>
          <w:rFonts w:ascii="Century Gothic" w:hAnsi="Century Gothic"/>
          <w:b/>
          <w:sz w:val="28"/>
        </w:rPr>
      </w:pPr>
      <w:r w:rsidRPr="002D5D63">
        <w:rPr>
          <w:rFonts w:ascii="Century Gothic" w:hAnsi="Century Gothic"/>
          <w:b/>
          <w:sz w:val="28"/>
        </w:rPr>
        <w:t>What is in the ‘black box’ of NZGrapher and iNZight’s time series module?</w:t>
      </w:r>
    </w:p>
    <w:p w14:paraId="6BC1AA91" w14:textId="64B8109E" w:rsidR="00D47B05" w:rsidRPr="002D5D63" w:rsidRDefault="002D5D63" w:rsidP="00F97F49">
      <w:pPr>
        <w:rPr>
          <w:rFonts w:ascii="Century Gothic" w:hAnsi="Century Gothic"/>
        </w:rPr>
      </w:pPr>
      <w:r w:rsidRPr="002D5D63">
        <w:rPr>
          <w:rFonts w:ascii="Century Gothic" w:hAnsi="Century Gothic"/>
        </w:rPr>
        <w:t>The short answer is Seasonal Trend LOESS Decomposition for historical data and Holt-Winters for forecasting... but what does this actually mean?</w:t>
      </w:r>
      <w:r w:rsidR="00D47B05">
        <w:rPr>
          <w:rFonts w:ascii="Century Gothic" w:hAnsi="Century Gothic"/>
        </w:rPr>
        <w:t xml:space="preserve"> The data used in this example is </w:t>
      </w:r>
      <w:r w:rsidR="00F97F49">
        <w:rPr>
          <w:rFonts w:ascii="Century Gothic" w:hAnsi="Century Gothic"/>
        </w:rPr>
        <w:t>the</w:t>
      </w:r>
      <w:r w:rsidR="00F97F49" w:rsidRPr="00F97F49">
        <w:rPr>
          <w:rFonts w:ascii="Century Gothic" w:hAnsi="Century Gothic"/>
        </w:rPr>
        <w:t xml:space="preserve"> number of peop</w:t>
      </w:r>
      <w:r w:rsidR="00F97F49">
        <w:rPr>
          <w:rFonts w:ascii="Century Gothic" w:hAnsi="Century Gothic"/>
        </w:rPr>
        <w:t xml:space="preserve">le in employment in New Zealand. The data is from the </w:t>
      </w:r>
      <w:r w:rsidR="00F97F49" w:rsidRPr="00F97F49">
        <w:rPr>
          <w:rFonts w:ascii="Century Gothic" w:hAnsi="Century Gothic"/>
        </w:rPr>
        <w:t>National Employment Indicator</w:t>
      </w:r>
      <w:r w:rsidR="00F97F49">
        <w:rPr>
          <w:rFonts w:ascii="Century Gothic" w:hAnsi="Century Gothic"/>
        </w:rPr>
        <w:t xml:space="preserve"> series </w:t>
      </w:r>
      <w:r w:rsidR="00F97F49" w:rsidRPr="00F97F49">
        <w:rPr>
          <w:rFonts w:ascii="Century Gothic" w:hAnsi="Century Gothic"/>
        </w:rPr>
        <w:t>sourced from Statistics New Zealand</w:t>
      </w:r>
      <w:r w:rsidR="00F97F49">
        <w:rPr>
          <w:rStyle w:val="FootnoteReference"/>
          <w:rFonts w:ascii="Century Gothic" w:hAnsi="Century Gothic"/>
        </w:rPr>
        <w:footnoteReference w:id="1"/>
      </w:r>
      <w:r w:rsidR="00F97F49" w:rsidRPr="00F97F49">
        <w:rPr>
          <w:rFonts w:ascii="Century Gothic" w:hAnsi="Century Gothic"/>
        </w:rPr>
        <w:t>.</w:t>
      </w:r>
    </w:p>
    <w:p w14:paraId="3EC8D647" w14:textId="77777777" w:rsidR="002D5D63" w:rsidRPr="002D5D63" w:rsidRDefault="002D5D63" w:rsidP="002D5D63">
      <w:pPr>
        <w:rPr>
          <w:rFonts w:ascii="Century Gothic" w:hAnsi="Century Gothic"/>
          <w:b/>
        </w:rPr>
      </w:pPr>
      <w:r w:rsidRPr="002D5D63">
        <w:rPr>
          <w:rFonts w:ascii="Century Gothic" w:hAnsi="Century Gothic"/>
          <w:b/>
        </w:rPr>
        <w:t>Seasonal Trend LOESS (STL)</w:t>
      </w:r>
    </w:p>
    <w:p w14:paraId="39D12D3F" w14:textId="0EFC78AA" w:rsidR="002D5D63" w:rsidRPr="002D5D63" w:rsidRDefault="002D5D63" w:rsidP="002D5D63">
      <w:pPr>
        <w:rPr>
          <w:rFonts w:ascii="Century Gothic" w:hAnsi="Century Gothic"/>
        </w:rPr>
      </w:pPr>
      <w:r w:rsidRPr="002D5D63">
        <w:rPr>
          <w:rFonts w:ascii="Century Gothic" w:hAnsi="Century Gothic"/>
        </w:rPr>
        <w:t>STL is a method of decomposing historical data to analyse time series based on a long term trend and a seasonal component. It was formulated by Robert B. Cleveland and others, and published in the Journal of Official Statistics in 1990. You can access the full arti</w:t>
      </w:r>
      <w:r w:rsidR="00C5703D">
        <w:rPr>
          <w:rFonts w:ascii="Century Gothic" w:hAnsi="Century Gothic"/>
        </w:rPr>
        <w:t>cle</w:t>
      </w:r>
      <w:r w:rsidR="00C5703D">
        <w:rPr>
          <w:rStyle w:val="FootnoteReference"/>
          <w:rFonts w:ascii="Century Gothic" w:hAnsi="Century Gothic"/>
        </w:rPr>
        <w:footnoteReference w:id="2"/>
      </w:r>
      <w:r w:rsidRPr="002D5D63">
        <w:rPr>
          <w:rFonts w:ascii="Century Gothic" w:hAnsi="Century Gothic"/>
        </w:rPr>
        <w:t>.</w:t>
      </w:r>
    </w:p>
    <w:p w14:paraId="28C1A05B" w14:textId="77777777" w:rsidR="002D5D63" w:rsidRPr="002D5D63" w:rsidRDefault="002D5D63" w:rsidP="002D5D63">
      <w:pPr>
        <w:rPr>
          <w:rFonts w:ascii="Century Gothic" w:hAnsi="Century Gothic"/>
        </w:rPr>
      </w:pPr>
      <w:r w:rsidRPr="002D5D63">
        <w:rPr>
          <w:rFonts w:ascii="Century Gothic" w:hAnsi="Century Gothic"/>
          <w:noProof/>
          <w:lang w:eastAsia="en-NZ"/>
        </w:rPr>
        <w:drawing>
          <wp:anchor distT="0" distB="0" distL="114300" distR="114300" simplePos="0" relativeHeight="251658240" behindDoc="0" locked="0" layoutInCell="1" allowOverlap="1" wp14:anchorId="27A1F7A9" wp14:editId="0BA6E251">
            <wp:simplePos x="0" y="0"/>
            <wp:positionH relativeFrom="margin">
              <wp:align>right</wp:align>
            </wp:positionH>
            <wp:positionV relativeFrom="paragraph">
              <wp:posOffset>5715</wp:posOffset>
            </wp:positionV>
            <wp:extent cx="2896235" cy="2172335"/>
            <wp:effectExtent l="0" t="0" r="0" b="0"/>
            <wp:wrapSquare wrapText="bothSides"/>
            <wp:docPr id="4" name="Picture 4" descr="http://www.mathsnz.com/_/rsrc/1436401295912/blog/nzgraphertimeseriesplots/TimeSeriesRecomp-oHAwUITgVk.png?height=300&amp;width=4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nz.com/_/rsrc/1436401295912/blog/nzgraphertimeseriesplots/TimeSeriesRecomp-oHAwUITgVk.png?height=300&amp;width=4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2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5D63">
        <w:rPr>
          <w:rFonts w:ascii="Century Gothic" w:hAnsi="Century Gothic"/>
        </w:rPr>
        <w:t>As a brief summary, it runs through the following loop (for NZGrapher it does this twice), starting with a completely flat trend.</w:t>
      </w:r>
    </w:p>
    <w:p w14:paraId="27318E10" w14:textId="77777777" w:rsidR="002D5D63" w:rsidRPr="002D5D63" w:rsidRDefault="002D5D63" w:rsidP="002D5D63">
      <w:pPr>
        <w:pStyle w:val="ListParagraph"/>
        <w:numPr>
          <w:ilvl w:val="0"/>
          <w:numId w:val="2"/>
        </w:numPr>
        <w:rPr>
          <w:rFonts w:ascii="Century Gothic" w:hAnsi="Century Gothic"/>
        </w:rPr>
      </w:pPr>
      <w:r w:rsidRPr="002D5D63">
        <w:rPr>
          <w:rFonts w:ascii="Century Gothic" w:hAnsi="Century Gothic"/>
        </w:rPr>
        <w:t>Subtract the trend from the raw data.</w:t>
      </w:r>
    </w:p>
    <w:p w14:paraId="3323CED6" w14:textId="77777777" w:rsidR="002D5D63" w:rsidRPr="002D5D63" w:rsidRDefault="002D5D63" w:rsidP="002D5D63">
      <w:pPr>
        <w:pStyle w:val="ListParagraph"/>
        <w:numPr>
          <w:ilvl w:val="0"/>
          <w:numId w:val="2"/>
        </w:numPr>
        <w:rPr>
          <w:rFonts w:ascii="Century Gothic" w:hAnsi="Century Gothic"/>
        </w:rPr>
      </w:pPr>
      <w:r w:rsidRPr="002D5D63">
        <w:rPr>
          <w:rFonts w:ascii="Century Gothic" w:hAnsi="Century Gothic"/>
        </w:rPr>
        <w:t>Get all the values for each season (eg: all the January values) and smooth them using LOESS* extended by one year before and after and then combining these back into one series.</w:t>
      </w:r>
    </w:p>
    <w:p w14:paraId="7FC2A51B" w14:textId="77777777" w:rsidR="002D5D63" w:rsidRPr="002D5D63" w:rsidRDefault="002D5D63" w:rsidP="002D5D63">
      <w:pPr>
        <w:pStyle w:val="ListParagraph"/>
        <w:numPr>
          <w:ilvl w:val="0"/>
          <w:numId w:val="2"/>
        </w:numPr>
        <w:rPr>
          <w:rFonts w:ascii="Century Gothic" w:hAnsi="Century Gothic"/>
        </w:rPr>
      </w:pPr>
      <w:r w:rsidRPr="002D5D63">
        <w:rPr>
          <w:rFonts w:ascii="Century Gothic" w:hAnsi="Century Gothic"/>
        </w:rPr>
        <w:t>A moving mean with a length equal to the number of time periods is fitted to this twice, followed by a LOESS smoothing.</w:t>
      </w:r>
    </w:p>
    <w:p w14:paraId="6944F3F1" w14:textId="296B6FE3" w:rsidR="002D5D63" w:rsidRPr="002D5D63" w:rsidRDefault="002D5D63" w:rsidP="002D5D63">
      <w:pPr>
        <w:pStyle w:val="ListParagraph"/>
        <w:numPr>
          <w:ilvl w:val="0"/>
          <w:numId w:val="2"/>
        </w:numPr>
        <w:rPr>
          <w:rFonts w:ascii="Century Gothic" w:hAnsi="Century Gothic"/>
        </w:rPr>
      </w:pPr>
      <w:r w:rsidRPr="002D5D63">
        <w:rPr>
          <w:rFonts w:ascii="Century Gothic" w:hAnsi="Century Gothic"/>
        </w:rPr>
        <w:t>The seasonal values are calculated by subtracting the series created in 3 from the series created in 2</w:t>
      </w:r>
      <w:r w:rsidR="00CF6CAB">
        <w:rPr>
          <w:rFonts w:ascii="Century Gothic" w:hAnsi="Century Gothic"/>
        </w:rPr>
        <w:t xml:space="preserve"> and then averaged</w:t>
      </w:r>
      <w:bookmarkStart w:id="0" w:name="_GoBack"/>
      <w:bookmarkEnd w:id="0"/>
      <w:r w:rsidRPr="002D5D63">
        <w:rPr>
          <w:rFonts w:ascii="Century Gothic" w:hAnsi="Century Gothic"/>
        </w:rPr>
        <w:t>.</w:t>
      </w:r>
    </w:p>
    <w:p w14:paraId="154F5D90" w14:textId="77777777" w:rsidR="002D5D63" w:rsidRPr="002D5D63" w:rsidRDefault="002D5D63" w:rsidP="002D5D63">
      <w:pPr>
        <w:pStyle w:val="ListParagraph"/>
        <w:numPr>
          <w:ilvl w:val="0"/>
          <w:numId w:val="2"/>
        </w:numPr>
        <w:rPr>
          <w:rFonts w:ascii="Century Gothic" w:hAnsi="Century Gothic"/>
        </w:rPr>
      </w:pPr>
      <w:r w:rsidRPr="002D5D63">
        <w:rPr>
          <w:rFonts w:ascii="Century Gothic" w:hAnsi="Century Gothic"/>
        </w:rPr>
        <w:t>A deseasonalised series is then created by subtracting the seasonal values (from 4) from the raw data.</w:t>
      </w:r>
    </w:p>
    <w:p w14:paraId="20C51E34" w14:textId="77777777" w:rsidR="002D5D63" w:rsidRPr="002D5D63" w:rsidRDefault="002D5D63" w:rsidP="002D5D63">
      <w:pPr>
        <w:pStyle w:val="ListParagraph"/>
        <w:numPr>
          <w:ilvl w:val="0"/>
          <w:numId w:val="2"/>
        </w:numPr>
        <w:rPr>
          <w:rFonts w:ascii="Century Gothic" w:hAnsi="Century Gothic"/>
        </w:rPr>
      </w:pPr>
      <w:r w:rsidRPr="002D5D63">
        <w:rPr>
          <w:rFonts w:ascii="Century Gothic" w:hAnsi="Century Gothic"/>
        </w:rPr>
        <w:t>This deseasonalised series is then smoothed using LOESS and this the the trend values that are used for the next loop through.</w:t>
      </w:r>
    </w:p>
    <w:p w14:paraId="45246FE8" w14:textId="77777777" w:rsidR="002D5D63" w:rsidRPr="002D5D63" w:rsidRDefault="002D5D63" w:rsidP="002D5D63">
      <w:pPr>
        <w:rPr>
          <w:rFonts w:ascii="Century Gothic" w:hAnsi="Century Gothic"/>
        </w:rPr>
      </w:pPr>
      <w:r w:rsidRPr="002D5D63">
        <w:rPr>
          <w:rFonts w:ascii="Century Gothic" w:hAnsi="Century Gothic"/>
        </w:rPr>
        <w:t>Once the loop is finished going through the required number of times, the deseasonalised series from step 6 forms the trend (blue line), and the seasonal values from step 4 form the seasonal value (orange line). The residual values are calculated by subtracting the trend and the seasonal values from the raw data (red line). The fitted values (green line) is the trend plus the seasonal.</w:t>
      </w:r>
    </w:p>
    <w:p w14:paraId="21E5E7E8" w14:textId="77777777" w:rsidR="002D5D63" w:rsidRPr="002D5D63" w:rsidRDefault="002D5D63" w:rsidP="002D5D63">
      <w:pPr>
        <w:rPr>
          <w:rFonts w:ascii="Century Gothic" w:hAnsi="Century Gothic"/>
        </w:rPr>
      </w:pPr>
      <w:r w:rsidRPr="002D5D63">
        <w:rPr>
          <w:rFonts w:ascii="Century Gothic" w:hAnsi="Century Gothic"/>
        </w:rPr>
        <w:t>* LOESS can be thought to stand for LOcal regrESSion and works by getting the closest n number of points and fitting a weighted regression line through them and working out what value this has at the particular point you are looking at.</w:t>
      </w:r>
    </w:p>
    <w:p w14:paraId="0BFE73D8" w14:textId="77777777" w:rsidR="002D5D63" w:rsidRPr="002D5D63" w:rsidRDefault="002D5D63" w:rsidP="002D5D63">
      <w:pPr>
        <w:rPr>
          <w:rFonts w:ascii="Century Gothic" w:hAnsi="Century Gothic"/>
          <w:b/>
        </w:rPr>
      </w:pPr>
      <w:r w:rsidRPr="002D5D63">
        <w:rPr>
          <w:rFonts w:ascii="Century Gothic" w:hAnsi="Century Gothic"/>
          <w:b/>
        </w:rPr>
        <w:t>Holt Winters</w:t>
      </w:r>
    </w:p>
    <w:p w14:paraId="3BAEE0AA" w14:textId="77777777" w:rsidR="002D5D63" w:rsidRPr="002D5D63" w:rsidRDefault="002D5D63" w:rsidP="002D5D63">
      <w:pPr>
        <w:rPr>
          <w:rFonts w:ascii="Century Gothic" w:hAnsi="Century Gothic"/>
        </w:rPr>
      </w:pPr>
      <w:r w:rsidRPr="002D5D63">
        <w:rPr>
          <w:rFonts w:ascii="Century Gothic" w:hAnsi="Century Gothic"/>
        </w:rPr>
        <w:t>The Holt-Winters model requires a number of values to be chosen, the first few are the initial values for the trend, the gradient of the trend and the seasonal effects.</w:t>
      </w:r>
    </w:p>
    <w:p w14:paraId="3EEDA044" w14:textId="77777777" w:rsidR="002D5D63" w:rsidRPr="002D5D63" w:rsidRDefault="002D5D63" w:rsidP="002D5D63">
      <w:pPr>
        <w:rPr>
          <w:rFonts w:ascii="Century Gothic" w:hAnsi="Century Gothic"/>
        </w:rPr>
      </w:pPr>
      <w:r w:rsidRPr="002D5D63">
        <w:rPr>
          <w:rFonts w:ascii="Century Gothic" w:hAnsi="Century Gothic"/>
        </w:rPr>
        <w:t>To start off with NZGrapher creates a centered moving mean for the first two years of data. Once it has done this it fits a linear trend to it. The the y-intercept is the initial value of the trend, and the gradient of this line is the initial value for the gradient for the long term trend. The initial values for the seasonal effects are the difference between the first year values and the value of the linear trend line.</w:t>
      </w:r>
    </w:p>
    <w:p w14:paraId="3D2A279F" w14:textId="77777777" w:rsidR="002D5D63" w:rsidRPr="002D5D63" w:rsidRDefault="002D5D63" w:rsidP="002D5D63">
      <w:pPr>
        <w:rPr>
          <w:rFonts w:ascii="Century Gothic" w:hAnsi="Century Gothic"/>
        </w:rPr>
      </w:pPr>
      <w:r w:rsidRPr="002D5D63">
        <w:rPr>
          <w:rFonts w:ascii="Century Gothic" w:hAnsi="Century Gothic"/>
        </w:rPr>
        <w:lastRenderedPageBreak/>
        <w:t>The general formula for the Holt-Winters model is:</w:t>
      </w:r>
    </w:p>
    <w:p w14:paraId="153ECD37" w14:textId="77777777" w:rsidR="002D5D63" w:rsidRPr="002D5D63" w:rsidRDefault="002D5D63" w:rsidP="002D5D63">
      <w:pPr>
        <w:rPr>
          <w:rFonts w:ascii="Century Gothic" w:hAnsi="Century Gothic"/>
        </w:rPr>
      </w:pPr>
      <w:r w:rsidRPr="002D5D63">
        <w:rPr>
          <w:rFonts w:ascii="Century Gothic" w:hAnsi="Century Gothic"/>
          <w:noProof/>
          <w:lang w:eastAsia="en-NZ"/>
        </w:rPr>
        <w:drawing>
          <wp:inline distT="0" distB="0" distL="0" distR="0" wp14:anchorId="696715B8" wp14:editId="32B921EA">
            <wp:extent cx="1906905" cy="408305"/>
            <wp:effectExtent l="0" t="0" r="0" b="0"/>
            <wp:docPr id="3" name="Picture 3" descr="http://www.mathsnz.com/_/rsrc/1427963817870/blog/nzgraphertimeseriesplots/Capture.PNG?height=43&amp;width=2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snz.com/_/rsrc/1427963817870/blog/nzgraphertimeseriesplots/Capture.PNG?height=43&amp;width=2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408305"/>
                    </a:xfrm>
                    <a:prstGeom prst="rect">
                      <a:avLst/>
                    </a:prstGeom>
                    <a:noFill/>
                    <a:ln>
                      <a:noFill/>
                    </a:ln>
                  </pic:spPr>
                </pic:pic>
              </a:graphicData>
            </a:graphic>
          </wp:inline>
        </w:drawing>
      </w:r>
    </w:p>
    <w:p w14:paraId="25537147" w14:textId="77777777" w:rsidR="002D5D63" w:rsidRPr="002D5D63" w:rsidRDefault="002D5D63" w:rsidP="002D5D63">
      <w:pPr>
        <w:rPr>
          <w:rFonts w:ascii="Century Gothic" w:hAnsi="Century Gothic"/>
        </w:rPr>
      </w:pPr>
      <w:r w:rsidRPr="002D5D63">
        <w:rPr>
          <w:rFonts w:ascii="Century Gothic" w:hAnsi="Century Gothic"/>
        </w:rPr>
        <w:t>Where aT is the current trend level, bT is the current gradient of the trend and sT is the appropriate seasonal effect.</w:t>
      </w:r>
    </w:p>
    <w:p w14:paraId="0D2D7069" w14:textId="77777777" w:rsidR="002D5D63" w:rsidRPr="002D5D63" w:rsidRDefault="002D5D63" w:rsidP="002D5D63">
      <w:pPr>
        <w:rPr>
          <w:rFonts w:ascii="Century Gothic" w:hAnsi="Century Gothic"/>
        </w:rPr>
      </w:pPr>
      <w:r w:rsidRPr="002D5D63">
        <w:rPr>
          <w:rFonts w:ascii="Century Gothic" w:hAnsi="Century Gothic"/>
        </w:rPr>
        <w:t>The Holt winters uses the following formulas to work out the values of aT, bT and sT as it goes through:</w:t>
      </w:r>
    </w:p>
    <w:p w14:paraId="233E27CA" w14:textId="77777777" w:rsidR="002D5D63" w:rsidRPr="002D5D63" w:rsidRDefault="002D5D63" w:rsidP="002D5D63">
      <w:pPr>
        <w:rPr>
          <w:rFonts w:ascii="Century Gothic" w:hAnsi="Century Gothic"/>
        </w:rPr>
      </w:pPr>
      <w:r w:rsidRPr="002D5D63">
        <w:rPr>
          <w:rFonts w:ascii="Century Gothic" w:hAnsi="Century Gothic"/>
          <w:noProof/>
          <w:lang w:eastAsia="en-NZ"/>
        </w:rPr>
        <w:drawing>
          <wp:inline distT="0" distB="0" distL="0" distR="0" wp14:anchorId="0356E155" wp14:editId="370F2CC2">
            <wp:extent cx="3048000" cy="1459230"/>
            <wp:effectExtent l="0" t="0" r="0" b="7620"/>
            <wp:docPr id="2" name="Picture 2" descr="http://www.mathsnz.com/_/rsrc/1427963817900/blog/nzgraphertimeseriesplots/Capture2.PNG?height=153&amp;width=3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nz.com/_/rsrc/1427963817900/blog/nzgraphertimeseriesplots/Capture2.PNG?height=153&amp;width=3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459230"/>
                    </a:xfrm>
                    <a:prstGeom prst="rect">
                      <a:avLst/>
                    </a:prstGeom>
                    <a:noFill/>
                    <a:ln>
                      <a:noFill/>
                    </a:ln>
                  </pic:spPr>
                </pic:pic>
              </a:graphicData>
            </a:graphic>
          </wp:inline>
        </w:drawing>
      </w:r>
    </w:p>
    <w:p w14:paraId="22893A57" w14:textId="77777777" w:rsidR="002D5D63" w:rsidRPr="002D5D63" w:rsidRDefault="002D5D63" w:rsidP="002D5D63">
      <w:pPr>
        <w:rPr>
          <w:rFonts w:ascii="Century Gothic" w:hAnsi="Century Gothic"/>
        </w:rPr>
      </w:pPr>
      <w:r w:rsidRPr="002D5D63">
        <w:rPr>
          <w:rFonts w:ascii="Century Gothic" w:hAnsi="Century Gothic"/>
        </w:rPr>
        <w:t>These are what is known as exponential smoothing formula, and as you can see they have three extra variables: α, β and γ.</w:t>
      </w:r>
    </w:p>
    <w:p w14:paraId="058FD9CD" w14:textId="77777777" w:rsidR="002D5D63" w:rsidRPr="002D5D63" w:rsidRDefault="002D5D63" w:rsidP="002D5D63">
      <w:pPr>
        <w:rPr>
          <w:rFonts w:ascii="Century Gothic" w:hAnsi="Century Gothic"/>
        </w:rPr>
      </w:pPr>
      <w:r w:rsidRPr="002D5D63">
        <w:rPr>
          <w:rFonts w:ascii="Century Gothic" w:hAnsi="Century Gothic"/>
          <w:noProof/>
          <w:lang w:eastAsia="en-NZ"/>
        </w:rPr>
        <w:drawing>
          <wp:anchor distT="0" distB="0" distL="114300" distR="114300" simplePos="0" relativeHeight="251659264" behindDoc="0" locked="0" layoutInCell="1" allowOverlap="1" wp14:anchorId="5C34CEC3" wp14:editId="70ED0932">
            <wp:simplePos x="0" y="0"/>
            <wp:positionH relativeFrom="column">
              <wp:posOffset>3243</wp:posOffset>
            </wp:positionH>
            <wp:positionV relativeFrom="paragraph">
              <wp:posOffset>1189</wp:posOffset>
            </wp:positionV>
            <wp:extent cx="3813175" cy="2860040"/>
            <wp:effectExtent l="0" t="0" r="0" b="0"/>
            <wp:wrapSquare wrapText="bothSides"/>
            <wp:docPr id="1" name="Picture 1" descr="http://www.mathsnz.com/_/rsrc/1436401030657/blog/nzgraphertimeseriesplots/TimeSeriesForecasts-fASKjt5ylV.png?height=300&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snz.com/_/rsrc/1436401030657/blog/nzgraphertimeseriesplots/TimeSeriesForecasts-fASKjt5ylV.png?height=300&amp;width=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5D63">
        <w:rPr>
          <w:rFonts w:ascii="Century Gothic" w:hAnsi="Century Gothic"/>
        </w:rPr>
        <w:t>These are worked out by making a prediction for each step of the time series and trying to minimise the squared error for this prediction that is one step ahead. NZGrapher goes through and tries a number of different combinations, refining the values of α, β and γ until it has a model that fits as best as it can. Once it has done this it draws in the blue and green lines on the time series recomposition graph.</w:t>
      </w:r>
    </w:p>
    <w:p w14:paraId="7AA337CE" w14:textId="77777777" w:rsidR="002D5D63" w:rsidRPr="002D5D63" w:rsidRDefault="002D5D63" w:rsidP="002D5D63">
      <w:pPr>
        <w:rPr>
          <w:rFonts w:ascii="Century Gothic" w:hAnsi="Century Gothic"/>
        </w:rPr>
      </w:pPr>
      <w:r w:rsidRPr="002D5D63">
        <w:rPr>
          <w:rFonts w:ascii="Century Gothic" w:hAnsi="Century Gothic"/>
        </w:rPr>
        <w:t xml:space="preserve">The difference between the aqua and black lines, or the error between what the model was predicting would happen and what actually happened is what </w:t>
      </w:r>
      <w:r>
        <w:rPr>
          <w:rFonts w:ascii="Century Gothic" w:hAnsi="Century Gothic"/>
        </w:rPr>
        <w:t>the software</w:t>
      </w:r>
      <w:r w:rsidRPr="002D5D63">
        <w:rPr>
          <w:rFonts w:ascii="Century Gothic" w:hAnsi="Century Gothic"/>
        </w:rPr>
        <w:t xml:space="preserve"> tries to minimise. Because of the nature of exponential smoothing, the most recent values always have the greatest impact on the forecasts that we will make.</w:t>
      </w:r>
    </w:p>
    <w:p w14:paraId="62A0CBBA" w14:textId="77777777" w:rsidR="002D5D63" w:rsidRPr="002D5D63" w:rsidRDefault="002D5D63" w:rsidP="002D5D63">
      <w:pPr>
        <w:rPr>
          <w:rFonts w:ascii="Century Gothic" w:hAnsi="Century Gothic"/>
        </w:rPr>
      </w:pPr>
      <w:r>
        <w:rPr>
          <w:rFonts w:ascii="Century Gothic" w:hAnsi="Century Gothic"/>
        </w:rPr>
        <w:t>The software</w:t>
      </w:r>
      <w:r w:rsidRPr="002D5D63">
        <w:rPr>
          <w:rFonts w:ascii="Century Gothic" w:hAnsi="Century Gothic"/>
        </w:rPr>
        <w:t xml:space="preserve"> uses the final values of a</w:t>
      </w:r>
      <w:r w:rsidRPr="002D5D63">
        <w:rPr>
          <w:rFonts w:ascii="Century Gothic" w:hAnsi="Century Gothic"/>
          <w:vertAlign w:val="subscript"/>
        </w:rPr>
        <w:t>t</w:t>
      </w:r>
      <w:r w:rsidRPr="002D5D63">
        <w:rPr>
          <w:rFonts w:ascii="Century Gothic" w:hAnsi="Century Gothic"/>
        </w:rPr>
        <w:t>, b</w:t>
      </w:r>
      <w:r w:rsidRPr="002D5D63">
        <w:rPr>
          <w:rFonts w:ascii="Century Gothic" w:hAnsi="Century Gothic"/>
          <w:vertAlign w:val="subscript"/>
        </w:rPr>
        <w:t>t</w:t>
      </w:r>
      <w:r w:rsidRPr="002D5D63">
        <w:rPr>
          <w:rFonts w:ascii="Century Gothic" w:hAnsi="Century Gothic"/>
        </w:rPr>
        <w:t> and s</w:t>
      </w:r>
      <w:r w:rsidRPr="002D5D63">
        <w:rPr>
          <w:rFonts w:ascii="Century Gothic" w:hAnsi="Century Gothic"/>
          <w:vertAlign w:val="subscript"/>
        </w:rPr>
        <w:t>t</w:t>
      </w:r>
      <w:r w:rsidRPr="002D5D63">
        <w:rPr>
          <w:rFonts w:ascii="Century Gothic" w:hAnsi="Century Gothic"/>
        </w:rPr>
        <w:t xml:space="preserve"> to make the main predictions (shown by the solid red line on </w:t>
      </w:r>
      <w:r>
        <w:rPr>
          <w:rFonts w:ascii="Century Gothic" w:hAnsi="Century Gothic"/>
        </w:rPr>
        <w:t>the software</w:t>
      </w:r>
      <w:r w:rsidRPr="002D5D63">
        <w:rPr>
          <w:rFonts w:ascii="Century Gothic" w:hAnsi="Century Gothic"/>
        </w:rPr>
        <w:t>, and for the pink bands of expected values it does a bootstrap process 1000 times of what could happen from normal variation from what is seen in the data, and takes the middle 950 of them to give the most likely outcomes. This is why each time the forecast output is produced that the values change slightly.</w:t>
      </w:r>
    </w:p>
    <w:p w14:paraId="1CEFDA8C" w14:textId="5B98378D" w:rsidR="00C5703D" w:rsidRDefault="002D5D63" w:rsidP="002D5D63">
      <w:pPr>
        <w:rPr>
          <w:rFonts w:ascii="Century Gothic" w:hAnsi="Century Gothic"/>
        </w:rPr>
      </w:pPr>
      <w:r w:rsidRPr="002D5D63">
        <w:rPr>
          <w:rFonts w:ascii="Century Gothic" w:hAnsi="Century Gothic"/>
        </w:rPr>
        <w:t xml:space="preserve">Hopefully this sheds some light on what is going on inside the 'magic black box' of </w:t>
      </w:r>
      <w:r>
        <w:rPr>
          <w:rFonts w:ascii="Century Gothic" w:hAnsi="Century Gothic"/>
        </w:rPr>
        <w:t>NZGrapher and iNZight</w:t>
      </w:r>
      <w:r w:rsidRPr="002D5D63">
        <w:rPr>
          <w:rFonts w:ascii="Century Gothic" w:hAnsi="Century Gothic"/>
        </w:rPr>
        <w:t>, and if you have any questions about this don't hesitate to ask. This is not something that students are expected to know or understand, but it is useful to be able to point in this direction for students who are wanting to really understand what is going on.</w:t>
      </w:r>
    </w:p>
    <w:p w14:paraId="25F77712" w14:textId="25FCBBE9" w:rsidR="002D5D63" w:rsidRPr="002D5D63" w:rsidRDefault="002D5D63" w:rsidP="002D5D63">
      <w:pPr>
        <w:rPr>
          <w:rFonts w:ascii="Century Gothic" w:hAnsi="Century Gothic"/>
        </w:rPr>
      </w:pPr>
      <w:r>
        <w:rPr>
          <w:rFonts w:ascii="Century Gothic" w:hAnsi="Century Gothic"/>
        </w:rPr>
        <w:t>Jake Wills</w:t>
      </w:r>
      <w:r w:rsidR="0020216C">
        <w:rPr>
          <w:rFonts w:ascii="Century Gothic" w:hAnsi="Century Gothic"/>
        </w:rPr>
        <w:t xml:space="preserve"> </w:t>
      </w:r>
      <w:r w:rsidR="0020216C">
        <w:rPr>
          <w:rFonts w:ascii="Century Gothic" w:hAnsi="Century Gothic"/>
        </w:rPr>
        <w:br/>
        <w:t>On b</w:t>
      </w:r>
      <w:r w:rsidR="00C5703D">
        <w:rPr>
          <w:rFonts w:ascii="Century Gothic" w:hAnsi="Century Gothic"/>
        </w:rPr>
        <w:t>eha</w:t>
      </w:r>
      <w:r w:rsidR="00D47B05">
        <w:rPr>
          <w:rFonts w:ascii="Century Gothic" w:hAnsi="Century Gothic"/>
        </w:rPr>
        <w:t>lf of the New Zealand Statistical</w:t>
      </w:r>
      <w:r w:rsidR="00C5703D">
        <w:rPr>
          <w:rFonts w:ascii="Century Gothic" w:hAnsi="Century Gothic"/>
        </w:rPr>
        <w:t xml:space="preserve"> Association Education Committee </w:t>
      </w:r>
      <w:r>
        <w:rPr>
          <w:rFonts w:ascii="Century Gothic" w:hAnsi="Century Gothic"/>
        </w:rPr>
        <w:br/>
      </w:r>
      <w:hyperlink r:id="rId15" w:history="1">
        <w:r w:rsidRPr="00554532">
          <w:rPr>
            <w:rStyle w:val="Hyperlink"/>
            <w:rFonts w:ascii="Century Gothic" w:hAnsi="Century Gothic"/>
          </w:rPr>
          <w:t>jwills@mathsnz.com</w:t>
        </w:r>
      </w:hyperlink>
      <w:r>
        <w:rPr>
          <w:rFonts w:ascii="Century Gothic" w:hAnsi="Century Gothic"/>
        </w:rPr>
        <w:t xml:space="preserve"> </w:t>
      </w:r>
    </w:p>
    <w:sectPr w:rsidR="002D5D63" w:rsidRPr="002D5D63" w:rsidSect="002D5D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7BBC4" w14:textId="77777777" w:rsidR="00C5703D" w:rsidRDefault="00C5703D" w:rsidP="00C5703D">
      <w:pPr>
        <w:spacing w:after="0" w:line="240" w:lineRule="auto"/>
      </w:pPr>
      <w:r>
        <w:separator/>
      </w:r>
    </w:p>
  </w:endnote>
  <w:endnote w:type="continuationSeparator" w:id="0">
    <w:p w14:paraId="35417E9E" w14:textId="77777777" w:rsidR="00C5703D" w:rsidRDefault="00C5703D" w:rsidP="00C5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DB7AE" w14:textId="77777777" w:rsidR="00C5703D" w:rsidRDefault="00C5703D" w:rsidP="00C5703D">
      <w:pPr>
        <w:spacing w:after="0" w:line="240" w:lineRule="auto"/>
      </w:pPr>
      <w:r>
        <w:separator/>
      </w:r>
    </w:p>
  </w:footnote>
  <w:footnote w:type="continuationSeparator" w:id="0">
    <w:p w14:paraId="1AA20542" w14:textId="77777777" w:rsidR="00C5703D" w:rsidRDefault="00C5703D" w:rsidP="00C5703D">
      <w:pPr>
        <w:spacing w:after="0" w:line="240" w:lineRule="auto"/>
      </w:pPr>
      <w:r>
        <w:continuationSeparator/>
      </w:r>
    </w:p>
  </w:footnote>
  <w:footnote w:id="1">
    <w:p w14:paraId="3C3289FB" w14:textId="3B724315" w:rsidR="00F97F49" w:rsidRPr="00F97F49" w:rsidRDefault="00F97F49">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The NEI covers filled jobs where employees were paid wages or salaries in the calendar month, by an employer who filed an EMS return.</w:t>
      </w:r>
      <w:r>
        <w:rPr>
          <w:rFonts w:ascii="Century Gothic" w:hAnsi="Century Gothic"/>
        </w:rPr>
        <w:t xml:space="preserve"> This series was discontinued in 2012. </w:t>
      </w:r>
      <w:hyperlink r:id="rId1" w:history="1">
        <w:r w:rsidRPr="00F97F49">
          <w:rPr>
            <w:rStyle w:val="Hyperlink"/>
            <w:rFonts w:ascii="Century Gothic" w:hAnsi="Century Gothic"/>
          </w:rPr>
          <w:t>More details</w:t>
        </w:r>
      </w:hyperlink>
      <w:r>
        <w:rPr>
          <w:rFonts w:ascii="Century Gothic" w:hAnsi="Century Gothic"/>
        </w:rPr>
        <w:t>.</w:t>
      </w:r>
    </w:p>
  </w:footnote>
  <w:footnote w:id="2">
    <w:p w14:paraId="06ADCB15" w14:textId="3CAD7387" w:rsidR="00C5703D" w:rsidRPr="00F97F49" w:rsidRDefault="00C5703D">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w:t>
      </w:r>
      <w:hyperlink r:id="rId2" w:history="1">
        <w:r w:rsidRPr="00F97F49">
          <w:rPr>
            <w:rStyle w:val="Hyperlink"/>
            <w:rFonts w:ascii="Century Gothic" w:hAnsi="Century Gothic"/>
          </w:rPr>
          <w:t>http://cs.wellesley.edu/~cs315/Papers/stl%20statistical%20model.pdf</w:t>
        </w:r>
      </w:hyperlink>
      <w:r w:rsidRPr="00F97F49">
        <w:rPr>
          <w:rFonts w:ascii="Century Gothic" w:hAnsi="Century Gothic"/>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02261"/>
    <w:multiLevelType w:val="multilevel"/>
    <w:tmpl w:val="226C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46942"/>
    <w:multiLevelType w:val="hybridMultilevel"/>
    <w:tmpl w:val="9490F3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63"/>
    <w:rsid w:val="0020216C"/>
    <w:rsid w:val="002D5D63"/>
    <w:rsid w:val="006B628A"/>
    <w:rsid w:val="00C5703D"/>
    <w:rsid w:val="00CF6CAB"/>
    <w:rsid w:val="00D47B05"/>
    <w:rsid w:val="00F97F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82A0"/>
  <w15:chartTrackingRefBased/>
  <w15:docId w15:val="{52107C8E-BAA3-48A7-9ACB-45FCB1AF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5D6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D63"/>
    <w:rPr>
      <w:rFonts w:ascii="Times New Roman" w:eastAsia="Times New Roman" w:hAnsi="Times New Roman" w:cs="Times New Roman"/>
      <w:b/>
      <w:bCs/>
      <w:sz w:val="27"/>
      <w:szCs w:val="27"/>
      <w:lang w:eastAsia="en-NZ"/>
    </w:rPr>
  </w:style>
  <w:style w:type="character" w:customStyle="1" w:styleId="announcementsposttimestamp">
    <w:name w:val="announcementsposttimestamp"/>
    <w:basedOn w:val="DefaultParagraphFont"/>
    <w:rsid w:val="002D5D63"/>
  </w:style>
  <w:style w:type="character" w:customStyle="1" w:styleId="apple-converted-space">
    <w:name w:val="apple-converted-space"/>
    <w:basedOn w:val="DefaultParagraphFont"/>
    <w:rsid w:val="002D5D63"/>
  </w:style>
  <w:style w:type="character" w:customStyle="1" w:styleId="updatedtime">
    <w:name w:val="updatedtime"/>
    <w:basedOn w:val="DefaultParagraphFont"/>
    <w:rsid w:val="002D5D63"/>
  </w:style>
  <w:style w:type="character" w:styleId="Hyperlink">
    <w:name w:val="Hyperlink"/>
    <w:basedOn w:val="DefaultParagraphFont"/>
    <w:uiPriority w:val="99"/>
    <w:unhideWhenUsed/>
    <w:rsid w:val="002D5D63"/>
    <w:rPr>
      <w:color w:val="0000FF"/>
      <w:u w:val="single"/>
    </w:rPr>
  </w:style>
  <w:style w:type="paragraph" w:styleId="ListParagraph">
    <w:name w:val="List Paragraph"/>
    <w:basedOn w:val="Normal"/>
    <w:uiPriority w:val="34"/>
    <w:qFormat/>
    <w:rsid w:val="002D5D63"/>
    <w:pPr>
      <w:ind w:left="720"/>
      <w:contextualSpacing/>
    </w:pPr>
  </w:style>
  <w:style w:type="paragraph" w:styleId="FootnoteText">
    <w:name w:val="footnote text"/>
    <w:basedOn w:val="Normal"/>
    <w:link w:val="FootnoteTextChar"/>
    <w:uiPriority w:val="99"/>
    <w:semiHidden/>
    <w:unhideWhenUsed/>
    <w:rsid w:val="00C570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03D"/>
    <w:rPr>
      <w:sz w:val="20"/>
      <w:szCs w:val="20"/>
    </w:rPr>
  </w:style>
  <w:style w:type="character" w:styleId="FootnoteReference">
    <w:name w:val="footnote reference"/>
    <w:basedOn w:val="DefaultParagraphFont"/>
    <w:uiPriority w:val="99"/>
    <w:semiHidden/>
    <w:unhideWhenUsed/>
    <w:rsid w:val="00C570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31644">
      <w:bodyDiv w:val="1"/>
      <w:marLeft w:val="0"/>
      <w:marRight w:val="0"/>
      <w:marTop w:val="0"/>
      <w:marBottom w:val="0"/>
      <w:divBdr>
        <w:top w:val="none" w:sz="0" w:space="0" w:color="auto"/>
        <w:left w:val="none" w:sz="0" w:space="0" w:color="auto"/>
        <w:bottom w:val="none" w:sz="0" w:space="0" w:color="auto"/>
        <w:right w:val="none" w:sz="0" w:space="0" w:color="auto"/>
      </w:divBdr>
      <w:divsChild>
        <w:div w:id="1884751622">
          <w:marLeft w:val="0"/>
          <w:marRight w:val="0"/>
          <w:marTop w:val="0"/>
          <w:marBottom w:val="0"/>
          <w:divBdr>
            <w:top w:val="none" w:sz="0" w:space="0" w:color="auto"/>
            <w:left w:val="none" w:sz="0" w:space="0" w:color="auto"/>
            <w:bottom w:val="none" w:sz="0" w:space="0" w:color="auto"/>
            <w:right w:val="none" w:sz="0" w:space="0" w:color="auto"/>
          </w:divBdr>
          <w:divsChild>
            <w:div w:id="9382674">
              <w:marLeft w:val="0"/>
              <w:marRight w:val="0"/>
              <w:marTop w:val="0"/>
              <w:marBottom w:val="0"/>
              <w:divBdr>
                <w:top w:val="none" w:sz="0" w:space="0" w:color="auto"/>
                <w:left w:val="none" w:sz="0" w:space="0" w:color="auto"/>
                <w:bottom w:val="none" w:sz="0" w:space="0" w:color="auto"/>
                <w:right w:val="none" w:sz="0" w:space="0" w:color="auto"/>
              </w:divBdr>
              <w:divsChild>
                <w:div w:id="1706053868">
                  <w:marLeft w:val="0"/>
                  <w:marRight w:val="0"/>
                  <w:marTop w:val="0"/>
                  <w:marBottom w:val="0"/>
                  <w:divBdr>
                    <w:top w:val="none" w:sz="0" w:space="0" w:color="auto"/>
                    <w:left w:val="none" w:sz="0" w:space="0" w:color="auto"/>
                    <w:bottom w:val="none" w:sz="0" w:space="0" w:color="auto"/>
                    <w:right w:val="none" w:sz="0" w:space="0" w:color="auto"/>
                  </w:divBdr>
                  <w:divsChild>
                    <w:div w:id="164248734">
                      <w:marLeft w:val="0"/>
                      <w:marRight w:val="0"/>
                      <w:marTop w:val="0"/>
                      <w:marBottom w:val="0"/>
                      <w:divBdr>
                        <w:top w:val="none" w:sz="0" w:space="0" w:color="auto"/>
                        <w:left w:val="none" w:sz="0" w:space="0" w:color="auto"/>
                        <w:bottom w:val="none" w:sz="0" w:space="0" w:color="auto"/>
                        <w:right w:val="none" w:sz="0" w:space="0" w:color="auto"/>
                      </w:divBdr>
                    </w:div>
                    <w:div w:id="617417915">
                      <w:marLeft w:val="0"/>
                      <w:marRight w:val="0"/>
                      <w:marTop w:val="0"/>
                      <w:marBottom w:val="0"/>
                      <w:divBdr>
                        <w:top w:val="none" w:sz="0" w:space="0" w:color="auto"/>
                        <w:left w:val="none" w:sz="0" w:space="0" w:color="auto"/>
                        <w:bottom w:val="none" w:sz="0" w:space="0" w:color="auto"/>
                        <w:right w:val="none" w:sz="0" w:space="0" w:color="auto"/>
                      </w:divBdr>
                    </w:div>
                    <w:div w:id="2046978650">
                      <w:marLeft w:val="0"/>
                      <w:marRight w:val="0"/>
                      <w:marTop w:val="0"/>
                      <w:marBottom w:val="0"/>
                      <w:divBdr>
                        <w:top w:val="none" w:sz="0" w:space="0" w:color="auto"/>
                        <w:left w:val="none" w:sz="0" w:space="0" w:color="auto"/>
                        <w:bottom w:val="none" w:sz="0" w:space="0" w:color="auto"/>
                        <w:right w:val="none" w:sz="0" w:space="0" w:color="auto"/>
                      </w:divBdr>
                    </w:div>
                    <w:div w:id="680276936">
                      <w:marLeft w:val="0"/>
                      <w:marRight w:val="0"/>
                      <w:marTop w:val="0"/>
                      <w:marBottom w:val="0"/>
                      <w:divBdr>
                        <w:top w:val="none" w:sz="0" w:space="0" w:color="auto"/>
                        <w:left w:val="none" w:sz="0" w:space="0" w:color="auto"/>
                        <w:bottom w:val="none" w:sz="0" w:space="0" w:color="auto"/>
                        <w:right w:val="none" w:sz="0" w:space="0" w:color="auto"/>
                      </w:divBdr>
                    </w:div>
                    <w:div w:id="662120296">
                      <w:marLeft w:val="0"/>
                      <w:marRight w:val="0"/>
                      <w:marTop w:val="0"/>
                      <w:marBottom w:val="0"/>
                      <w:divBdr>
                        <w:top w:val="none" w:sz="0" w:space="0" w:color="auto"/>
                        <w:left w:val="none" w:sz="0" w:space="0" w:color="auto"/>
                        <w:bottom w:val="none" w:sz="0" w:space="0" w:color="auto"/>
                        <w:right w:val="none" w:sz="0" w:space="0" w:color="auto"/>
                      </w:divBdr>
                    </w:div>
                    <w:div w:id="808596494">
                      <w:marLeft w:val="0"/>
                      <w:marRight w:val="0"/>
                      <w:marTop w:val="0"/>
                      <w:marBottom w:val="0"/>
                      <w:divBdr>
                        <w:top w:val="none" w:sz="0" w:space="0" w:color="auto"/>
                        <w:left w:val="none" w:sz="0" w:space="0" w:color="auto"/>
                        <w:bottom w:val="none" w:sz="0" w:space="0" w:color="auto"/>
                        <w:right w:val="none" w:sz="0" w:space="0" w:color="auto"/>
                      </w:divBdr>
                      <w:divsChild>
                        <w:div w:id="1680043030">
                          <w:marLeft w:val="150"/>
                          <w:marRight w:val="150"/>
                          <w:marTop w:val="75"/>
                          <w:marBottom w:val="75"/>
                          <w:divBdr>
                            <w:top w:val="none" w:sz="0" w:space="0" w:color="auto"/>
                            <w:left w:val="none" w:sz="0" w:space="0" w:color="auto"/>
                            <w:bottom w:val="none" w:sz="0" w:space="0" w:color="auto"/>
                            <w:right w:val="none" w:sz="0" w:space="0" w:color="auto"/>
                          </w:divBdr>
                        </w:div>
                      </w:divsChild>
                    </w:div>
                    <w:div w:id="227808757">
                      <w:marLeft w:val="0"/>
                      <w:marRight w:val="0"/>
                      <w:marTop w:val="0"/>
                      <w:marBottom w:val="0"/>
                      <w:divBdr>
                        <w:top w:val="none" w:sz="0" w:space="0" w:color="auto"/>
                        <w:left w:val="none" w:sz="0" w:space="0" w:color="auto"/>
                        <w:bottom w:val="none" w:sz="0" w:space="0" w:color="auto"/>
                        <w:right w:val="none" w:sz="0" w:space="0" w:color="auto"/>
                      </w:divBdr>
                      <w:divsChild>
                        <w:div w:id="2112234902">
                          <w:marLeft w:val="0"/>
                          <w:marRight w:val="0"/>
                          <w:marTop w:val="0"/>
                          <w:marBottom w:val="0"/>
                          <w:divBdr>
                            <w:top w:val="none" w:sz="0" w:space="0" w:color="auto"/>
                            <w:left w:val="none" w:sz="0" w:space="0" w:color="auto"/>
                            <w:bottom w:val="none" w:sz="0" w:space="0" w:color="auto"/>
                            <w:right w:val="none" w:sz="0" w:space="0" w:color="auto"/>
                          </w:divBdr>
                        </w:div>
                      </w:divsChild>
                    </w:div>
                    <w:div w:id="1408459325">
                      <w:marLeft w:val="0"/>
                      <w:marRight w:val="0"/>
                      <w:marTop w:val="0"/>
                      <w:marBottom w:val="0"/>
                      <w:divBdr>
                        <w:top w:val="none" w:sz="0" w:space="0" w:color="auto"/>
                        <w:left w:val="none" w:sz="0" w:space="0" w:color="auto"/>
                        <w:bottom w:val="none" w:sz="0" w:space="0" w:color="auto"/>
                        <w:right w:val="none" w:sz="0" w:space="0" w:color="auto"/>
                      </w:divBdr>
                    </w:div>
                    <w:div w:id="1521165622">
                      <w:marLeft w:val="0"/>
                      <w:marRight w:val="0"/>
                      <w:marTop w:val="0"/>
                      <w:marBottom w:val="0"/>
                      <w:divBdr>
                        <w:top w:val="none" w:sz="0" w:space="0" w:color="auto"/>
                        <w:left w:val="none" w:sz="0" w:space="0" w:color="auto"/>
                        <w:bottom w:val="none" w:sz="0" w:space="0" w:color="auto"/>
                        <w:right w:val="none" w:sz="0" w:space="0" w:color="auto"/>
                      </w:divBdr>
                    </w:div>
                    <w:div w:id="466706659">
                      <w:marLeft w:val="0"/>
                      <w:marRight w:val="0"/>
                      <w:marTop w:val="0"/>
                      <w:marBottom w:val="0"/>
                      <w:divBdr>
                        <w:top w:val="none" w:sz="0" w:space="0" w:color="auto"/>
                        <w:left w:val="none" w:sz="0" w:space="0" w:color="auto"/>
                        <w:bottom w:val="none" w:sz="0" w:space="0" w:color="auto"/>
                        <w:right w:val="none" w:sz="0" w:space="0" w:color="auto"/>
                      </w:divBdr>
                    </w:div>
                    <w:div w:id="283272946">
                      <w:marLeft w:val="0"/>
                      <w:marRight w:val="0"/>
                      <w:marTop w:val="0"/>
                      <w:marBottom w:val="0"/>
                      <w:divBdr>
                        <w:top w:val="none" w:sz="0" w:space="0" w:color="auto"/>
                        <w:left w:val="none" w:sz="0" w:space="0" w:color="auto"/>
                        <w:bottom w:val="none" w:sz="0" w:space="0" w:color="auto"/>
                        <w:right w:val="none" w:sz="0" w:space="0" w:color="auto"/>
                      </w:divBdr>
                    </w:div>
                    <w:div w:id="664287">
                      <w:marLeft w:val="0"/>
                      <w:marRight w:val="0"/>
                      <w:marTop w:val="0"/>
                      <w:marBottom w:val="0"/>
                      <w:divBdr>
                        <w:top w:val="none" w:sz="0" w:space="0" w:color="auto"/>
                        <w:left w:val="none" w:sz="0" w:space="0" w:color="auto"/>
                        <w:bottom w:val="none" w:sz="0" w:space="0" w:color="auto"/>
                        <w:right w:val="none" w:sz="0" w:space="0" w:color="auto"/>
                      </w:divBdr>
                    </w:div>
                    <w:div w:id="1585456173">
                      <w:marLeft w:val="0"/>
                      <w:marRight w:val="0"/>
                      <w:marTop w:val="0"/>
                      <w:marBottom w:val="0"/>
                      <w:divBdr>
                        <w:top w:val="none" w:sz="0" w:space="0" w:color="auto"/>
                        <w:left w:val="none" w:sz="0" w:space="0" w:color="auto"/>
                        <w:bottom w:val="none" w:sz="0" w:space="0" w:color="auto"/>
                        <w:right w:val="none" w:sz="0" w:space="0" w:color="auto"/>
                      </w:divBdr>
                    </w:div>
                    <w:div w:id="1961909791">
                      <w:marLeft w:val="0"/>
                      <w:marRight w:val="0"/>
                      <w:marTop w:val="0"/>
                      <w:marBottom w:val="0"/>
                      <w:divBdr>
                        <w:top w:val="none" w:sz="0" w:space="0" w:color="auto"/>
                        <w:left w:val="none" w:sz="0" w:space="0" w:color="auto"/>
                        <w:bottom w:val="none" w:sz="0" w:space="0" w:color="auto"/>
                        <w:right w:val="none" w:sz="0" w:space="0" w:color="auto"/>
                      </w:divBdr>
                    </w:div>
                    <w:div w:id="18114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snz.com/blog/nzgraphertimeseriesplots/TimeSeriesRecomp-oHAwUITgVk.png?attredirects=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snz.com/blog/nzgraphertimeseriesplots/Capture2.PNG?attredirects=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jwills@mathsnz.com" TargetMode="External"/><Relationship Id="rId10" T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cs.wellesley.edu/~cs315/Papers/stl%20statistical%20model.pdf" TargetMode="External"/><Relationship Id="rId1" Type="http://schemas.openxmlformats.org/officeDocument/2006/relationships/hyperlink" Target="http://www.stats.govt.nz/browse_for_stats/income-and-work/employment_and_unemployment/national-employment-indicator-info-releas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96DB1-2FE3-4F55-932B-977782A8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5</cp:revision>
  <cp:lastPrinted>2015-10-10T08:11:00Z</cp:lastPrinted>
  <dcterms:created xsi:type="dcterms:W3CDTF">2015-08-12T07:38:00Z</dcterms:created>
  <dcterms:modified xsi:type="dcterms:W3CDTF">2015-10-19T02:36:00Z</dcterms:modified>
</cp:coreProperties>
</file>