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02-07-2023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 xml:space="preserve">Revenue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1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491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491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2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121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726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3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337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4718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4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481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2886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5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197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394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6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145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1595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7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329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2303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8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176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1232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9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1112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10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257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1285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 xml:space="preserve"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3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4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7</w:t>
            </w:r>
          </w:p>
        </w:tc>
      </w:tr>
    </w:tbl>
    <w:p w14:paraId="1477E2F4" w14:textId="405AECA1" w:rsidR="00FD6B4F" w:rsidRDefault="000627E0" w:rsidP="00FD6B4F">
      <w:pPr>
        <w:pStyle w:val="Heading1"/>
        <w:rPr>
          <w:lang w:val="en-US"/>
        </w:rPr>
      </w:pPr>
      <w:r>
        <w:rPr>
          <w:lang w:val="en-US"/>
        </w:rPr>
        <w:t>Revenue</w:t>
      </w:r>
      <w:r w:rsidR="00FD6B4F">
        <w:rPr>
          <w:lang w:val="en-US"/>
        </w:rPr>
        <w:t xml:space="preserve"> </w:t>
      </w:r>
      <w:r>
        <w:rPr>
          <w:lang w:val="en-US"/>
        </w:rPr>
        <w:t>Bar Chart</w:t>
      </w:r>
    </w:p>
    <w:p w14:paraId="2DC152ED" w14:textId="11971BAC" w:rsidR="00FD6B4F" w:rsidRPr="00FD6B4F" w:rsidRDefault="00FD6B4F" w:rsidP="000F3023">
      <w:pPr>
        <w:jc w:val="center"/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87AC2"/>
    <w:rsid w:val="002C16EA"/>
    <w:rsid w:val="003A093A"/>
    <w:rsid w:val="005613DE"/>
    <w:rsid w:val="005A7468"/>
    <w:rsid w:val="005E5B1C"/>
    <w:rsid w:val="006F47D5"/>
    <w:rsid w:val="00770FEF"/>
    <w:rsid w:val="00AF3BFE"/>
    <w:rsid w:val="00B46269"/>
    <w:rsid w:val="00B91C4E"/>
    <w:rsid w:val="00C14CD2"/>
    <w:rsid w:val="00DB3D32"/>
    <w:rsid w:val="00DE615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17</cp:revision>
  <dcterms:created xsi:type="dcterms:W3CDTF">2021-10-15T10:19:00Z</dcterms:created>
  <dcterms:modified xsi:type="dcterms:W3CDTF">2021-10-15T10:59:00Z</dcterms:modified>
  <dc:identifier/>
  <dc:language/>
</cp:coreProperties>
</file>