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MarketX Precision Agronomy Suite</w:t>
      </w:r>
    </w:p>
    <w:p>
      <w:pPr>
        <w:jc w:val="center"/>
      </w:pPr>
      <w:r>
        <w:rPr>
          <w:b/>
        </w:rPr>
        <w:t>AI-Vision Diagnosis, Dynamic Crop Cycle Tracking, and Predictive Enterprise Planning for Kenyan Smallholders</w:t>
      </w:r>
    </w:p>
    <w:p>
      <w:r>
        <w:rPr>
          <w:b/>
        </w:rPr>
        <w:t xml:space="preserve">Target Grant Ask: </w:t>
      </w:r>
      <w:r>
        <w:t>$45,000 USD</w:t>
        <w:br/>
      </w:r>
      <w:r>
        <w:rPr>
          <w:b/>
        </w:rPr>
        <w:t xml:space="preserve">Pilot Duration: </w:t>
      </w:r>
      <w:r>
        <w:t>6 Months (1 Full Crop Cycle)</w:t>
        <w:br/>
      </w:r>
      <w:r>
        <w:rPr>
          <w:b/>
        </w:rPr>
        <w:t xml:space="preserve">Target Beneficiaries: </w:t>
      </w:r>
      <w:r>
        <w:t>500 Smallholder Farmers (~2,500 Household Beneficiaries)</w:t>
        <w:br/>
      </w:r>
      <w:r>
        <w:rPr>
          <w:b/>
        </w:rPr>
        <w:t xml:space="preserve">Applicant: </w:t>
      </w:r>
      <w:r>
        <w:t>Kreek Analytics LLC (Operating MarketX)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Executive Summary</w:t>
      </w:r>
    </w:p>
    <w:p>
      <w:r>
        <w:t>Smallholder farmers in Kenya lose up to 40% of their potential yields to a 'triad of failure': blind economic planning, missed agronomic windows due to climate drift, and the catastrophic misuse of agrochemicals. Generic agricultural apps fail because they require high-bandwidth internet and provide generic advice that ignores a farmer's specific budget and soil reality.</w:t>
      </w:r>
    </w:p>
    <w:p>
      <w:r>
        <w:t>MarketX bridges this gap with a deeply integrated, offline-first agronomic intelligence suite. Built on a robust, pre-tested codebase, this 6-month pilot deploys three core technical pillars directly to basic smartphones and feature phones:</w:t>
      </w:r>
    </w:p>
    <w:p>
      <w:pPr>
        <w:pStyle w:val="ListBullet"/>
      </w:pPr>
      <w:r>
        <w:rPr>
          <w:b/>
        </w:rPr>
        <w:t xml:space="preserve">Predictive Crop Planner: </w:t>
      </w:r>
      <w:r>
        <w:t>Replaces guesswork with multi-variable enterprise modeling based on GPS, soil, and market forecasts.</w:t>
      </w:r>
    </w:p>
    <w:p>
      <w:pPr>
        <w:pStyle w:val="ListBullet"/>
      </w:pPr>
      <w:r>
        <w:rPr>
          <w:b/>
        </w:rPr>
        <w:t xml:space="preserve">Dynamic Crop Cycle Ledger: </w:t>
      </w:r>
      <w:r>
        <w:t>Generates weather-adjusted, day-by-day task calendars with offline input tracking for B2B traceability.</w:t>
      </w:r>
    </w:p>
    <w:p>
      <w:pPr>
        <w:pStyle w:val="ListBullet"/>
      </w:pPr>
      <w:r>
        <w:rPr>
          <w:b/>
        </w:rPr>
        <w:t xml:space="preserve">AI-Vision Pest Diagnosis: </w:t>
      </w:r>
      <w:r>
        <w:t>Utilizes edge-compressed image analysis and a strict clinical decision tree to diagnose diseases and prescribe safe, localized chemical treatments.</w:t>
      </w:r>
    </w:p>
    <w:p>
      <w:r>
        <w:t>This $45,000 grant will fund the field deployment, Vision-AI compute costs, and econometric validation required to prove a verifiable 20%–30% net income gain and a 40% reduction in unnecessary chemical spend for 500 farmers.</w:t>
      </w:r>
    </w:p>
    <w:p>
      <w:pPr>
        <w:pStyle w:val="Heading1"/>
      </w:pPr>
      <w:r>
        <w:t>2. The Problem: The Agronomic Triad of Failure</w:t>
      </w:r>
    </w:p>
    <w:p>
      <w:r>
        <w:t>1. Blind Enterprise Planning: Farmers select crops based on tradition rather than data, lacking tools to model profitability against specific budget constraints and local market forecasts.</w:t>
      </w:r>
    </w:p>
    <w:p>
      <w:r>
        <w:t>2. Phenological Drift: Climate change has rendered traditional planting calendars obsolete, causing farmers to miss critical weeding, fertilization, and scouting windows.</w:t>
      </w:r>
    </w:p>
    <w:p>
      <w:r>
        <w:t>3. Pathological Mismanagement: Farmers rely on 'chemical cocktails'—overusing expensive, incorrect pesticides—which destroys soil biology and violates Pre-Harvest Intervals (PHI), causing harvest rejections.</w:t>
      </w:r>
    </w:p>
    <w:p>
      <w:pPr>
        <w:pStyle w:val="Heading1"/>
      </w:pPr>
      <w:r>
        <w:t>3. The MarketX Solution: 3 Core Technical Pillars</w:t>
      </w:r>
    </w:p>
    <w:p>
      <w:pPr>
        <w:pStyle w:val="Heading2"/>
      </w:pPr>
      <w:r>
        <w:t>Pillar 1: The AI Crop Planner (Predictive Economics)</w:t>
      </w:r>
    </w:p>
    <w:p>
      <w:r>
        <w:t>Unlike generic advice, the MarketX Crop Planner acts as a personalized farm economist. Farmers input their location (GPS), water source, and budget constraints. The system runs multi-variable optimization to generate a ranked list of crop enterprises, integrating edge-price forecasts to calculate predicted yields, input costs, and ROI before a single seed is planted.</w:t>
      </w:r>
    </w:p>
    <w:p>
      <w:pPr>
        <w:pStyle w:val="Heading2"/>
      </w:pPr>
      <w:r>
        <w:t>Pillar 2: Dynamic Crop Cycle Ledger (Actionable Phenology)</w:t>
      </w:r>
    </w:p>
    <w:p>
      <w:r>
        <w:t>Once a crop is selected, the system generates a dynamic, day-offset task calendar. The engine adapts tasks based on real-time conditions (e.g., skipping rain-dependent tasks if the farm is irrigated). Every input applied is logged via an offline-first queue, creating a verifiable provenance ledger that prepares smallholders for premium B2B off-taker contracts and EUDR compliance.</w:t>
      </w:r>
    </w:p>
    <w:p>
      <w:pPr>
        <w:pStyle w:val="Heading2"/>
      </w:pPr>
      <w:r>
        <w:t>Pillar 3: AI-Vision Pest Diagnosis &amp; Clinical Decision Tree</w:t>
      </w:r>
    </w:p>
    <w:p>
      <w:r>
        <w:t>This is the most critical intervention for yield rescue and environmental safety.</w:t>
      </w:r>
    </w:p>
    <w:p>
      <w:pPr>
        <w:pStyle w:val="ListBullet"/>
      </w:pPr>
      <w:r>
        <w:rPr>
          <w:b/>
        </w:rPr>
        <w:t xml:space="preserve">Low-Bandwidth Edge Compression: </w:t>
      </w:r>
      <w:r>
        <w:t>Farmers snap a photo of a diseased leaf. The app uses client-side HTML5 canvas compression (max 1024px, JPEG 0.7) to shrink the image, ensuring upload over rural 2G/3G networks.</w:t>
      </w:r>
    </w:p>
    <w:p>
      <w:pPr>
        <w:pStyle w:val="ListBullet"/>
      </w:pPr>
      <w:r>
        <w:rPr>
          <w:b/>
        </w:rPr>
        <w:t xml:space="preserve">Vision AI &amp; Differential Diagnosis: </w:t>
      </w:r>
      <w:r>
        <w:t>The image is analyzed by Vision LLMs (e.g., Gemini Flash) to identify the pest/disease, severity, and affected plant part.</w:t>
      </w:r>
    </w:p>
    <w:p>
      <w:pPr>
        <w:pStyle w:val="ListBullet"/>
      </w:pPr>
      <w:r>
        <w:rPr>
          <w:b/>
        </w:rPr>
        <w:t xml:space="preserve">The Safety Decision Tree: </w:t>
      </w:r>
      <w:r>
        <w:t>The AI output is passed through a strict clinical decision tree that cross-references the diagnosis against a verified database of trusted agrochemicals, outputting exact dosages, PPE requirements, and Pre-Harvest Interval (PHI) warnings.</w:t>
      </w:r>
    </w:p>
    <w:p>
      <w:pPr>
        <w:pStyle w:val="Heading1"/>
      </w:pPr>
      <w:r>
        <w:t>4. Master $45,000 Itemized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Budget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Allocation ($)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Technical Deliverables &amp; Focus Area</w:t>
            </w:r>
          </w:p>
        </w:tc>
      </w:tr>
      <w:tr>
        <w:tc>
          <w:tcPr>
            <w:tcW w:type="dxa" w:w="2160"/>
          </w:tcPr>
          <w:p>
            <w:r>
              <w:t>1. Ground Onboarding &amp; Hardware</w:t>
            </w:r>
          </w:p>
        </w:tc>
        <w:tc>
          <w:tcPr>
            <w:tcW w:type="dxa" w:w="2160"/>
          </w:tcPr>
          <w:p>
            <w:r>
              <w:t>$13,800</w:t>
            </w:r>
          </w:p>
        </w:tc>
        <w:tc>
          <w:tcPr>
            <w:tcW w:type="dxa" w:w="2160"/>
          </w:tcPr>
          <w:p>
            <w:r>
              <w:t>30.7%</w:t>
            </w:r>
          </w:p>
        </w:tc>
        <w:tc>
          <w:tcPr>
            <w:tcW w:type="dxa" w:w="2160"/>
          </w:tcPr>
          <w:p>
            <w:r>
              <w:t>• 10 Rugged Tablets &amp; MDM ($2k)</w:t>
              <w:br/>
              <w:t>• Agent Stipends &amp; Mobility ($9.2k)</w:t>
              <w:br/>
              <w:t>• Mobilization ($2.6k)</w:t>
            </w:r>
          </w:p>
        </w:tc>
      </w:tr>
      <w:tr>
        <w:tc>
          <w:tcPr>
            <w:tcW w:type="dxa" w:w="2160"/>
          </w:tcPr>
          <w:p>
            <w:r>
              <w:t>2. Cloud, AI Compute &amp; Telco</w:t>
            </w:r>
          </w:p>
        </w:tc>
        <w:tc>
          <w:tcPr>
            <w:tcW w:type="dxa" w:w="2160"/>
          </w:tcPr>
          <w:p>
            <w:r>
              <w:t>$10,200</w:t>
            </w:r>
          </w:p>
        </w:tc>
        <w:tc>
          <w:tcPr>
            <w:tcW w:type="dxa" w:w="2160"/>
          </w:tcPr>
          <w:p>
            <w:r>
              <w:t>22.7%</w:t>
            </w:r>
          </w:p>
        </w:tc>
        <w:tc>
          <w:tcPr>
            <w:tcW w:type="dxa" w:w="2160"/>
          </w:tcPr>
          <w:p>
            <w:r>
              <w:t>• Vision AI Inference Costs ($3.6k)</w:t>
              <w:br/>
              <w:t>• Offline-Sync Infrastructure ($3k)</w:t>
              <w:br/>
              <w:t>• USSD/SMS Fallbacks ($3.6k)</w:t>
            </w:r>
          </w:p>
        </w:tc>
      </w:tr>
      <w:tr>
        <w:tc>
          <w:tcPr>
            <w:tcW w:type="dxa" w:w="2160"/>
          </w:tcPr>
          <w:p>
            <w:r>
              <w:t>3. Econometrics &amp; M&amp;E</w:t>
            </w:r>
          </w:p>
        </w:tc>
        <w:tc>
          <w:tcPr>
            <w:tcW w:type="dxa" w:w="2160"/>
          </w:tcPr>
          <w:p>
            <w:r>
              <w:t>$9,500</w:t>
            </w:r>
          </w:p>
        </w:tc>
        <w:tc>
          <w:tcPr>
            <w:tcW w:type="dxa" w:w="2160"/>
          </w:tcPr>
          <w:p>
            <w:r>
              <w:t>21.1%</w:t>
            </w:r>
          </w:p>
        </w:tc>
        <w:tc>
          <w:tcPr>
            <w:tcW w:type="dxa" w:w="2160"/>
          </w:tcPr>
          <w:p>
            <w:r>
              <w:t>• Outcome Engine Variance Tracking ($4.5k)</w:t>
              <w:br/>
              <w:t>• Chemical Spend Audits ($3k)</w:t>
              <w:br/>
              <w:t>• ODK Survey Engineering ($2k)</w:t>
            </w:r>
          </w:p>
        </w:tc>
      </w:tr>
      <w:tr>
        <w:tc>
          <w:tcPr>
            <w:tcW w:type="dxa" w:w="2160"/>
          </w:tcPr>
          <w:p>
            <w:r>
              <w:t>4. Capacity Building &amp; Events</w:t>
            </w:r>
          </w:p>
        </w:tc>
        <w:tc>
          <w:tcPr>
            <w:tcW w:type="dxa" w:w="2160"/>
          </w:tcPr>
          <w:p>
            <w:r>
              <w:t>$4,000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  <w:tc>
          <w:tcPr>
            <w:tcW w:type="dxa" w:w="2160"/>
          </w:tcPr>
          <w:p>
            <w:r>
              <w:t>• 2 Champion Demo Plots ($1.8k)</w:t>
              <w:br/>
              <w:t>• Field Days ($1.2k)</w:t>
              <w:br/>
              <w:t>• Visual Manuals ($1k)</w:t>
            </w:r>
          </w:p>
        </w:tc>
      </w:tr>
      <w:tr>
        <w:tc>
          <w:tcPr>
            <w:tcW w:type="dxa" w:w="2160"/>
          </w:tcPr>
          <w:p>
            <w:r>
              <w:t>5. Verification &amp; Case Study</w:t>
            </w:r>
          </w:p>
        </w:tc>
        <w:tc>
          <w:tcPr>
            <w:tcW w:type="dxa" w:w="2160"/>
          </w:tcPr>
          <w:p>
            <w:r>
              <w:t>$2,500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  <w:tc>
          <w:tcPr>
            <w:tcW w:type="dxa" w:w="2160"/>
          </w:tcPr>
          <w:p>
            <w:r>
              <w:t>• Independent Agronomic Audit ($1.5k)</w:t>
              <w:br/>
              <w:t>• Public Impact Report ($1k)</w:t>
            </w:r>
          </w:p>
        </w:tc>
      </w:tr>
      <w:tr>
        <w:tc>
          <w:tcPr>
            <w:tcW w:type="dxa" w:w="2160"/>
          </w:tcPr>
          <w:p>
            <w:r>
              <w:t>6. Legal &amp; Admin Ops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• County CECM permits, field micro-insurance, and financial compliance.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MASTER BUDGET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$45,000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500 Farmers ($90 Unit Cost — 100% Free to Farmers)</w:t>
            </w:r>
          </w:p>
        </w:tc>
      </w:tr>
    </w:tbl>
    <w:p>
      <w:pPr>
        <w:pStyle w:val="Heading1"/>
      </w:pPr>
      <w:r>
        <w:t>5. Measurable Donor KPIs &amp; B2B Transition</w:t>
      </w:r>
    </w:p>
    <w:p>
      <w:r>
        <w:t>1. Economic Uplift: Statistically validated baseline vs. endline M&amp;E data proving a 20%–30% net income increase per household.</w:t>
      </w:r>
    </w:p>
    <w:p>
      <w:r>
        <w:t>2. Chemical Rationalization: A verifiable 40% reduction in unnecessary agro-chemical spend and zero PHI-violations.</w:t>
      </w:r>
    </w:p>
    <w:p>
      <w:r>
        <w:t>3. Traceability Readiness: 100% of the 500 pilot farms will possess a digitized Crop Cycle Provenance Ledger.</w:t>
      </w:r>
    </w:p>
    <w:p>
      <w:r>
        <w:t>4. Active Retention: &gt;80% monthly active retention rate driven by localized, daily task advisories.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