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543A4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>Case-Only Analysis</w:t>
      </w:r>
    </w:p>
    <w:p w14:paraId="7BE0BCB2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Among 707 cancer cases, early-onset (&lt;50) patients were more likely to have higher PHQ-9 scores compared to late-onset cases. Depression was associated with increased odds of early-onset cancer (OR = 1.47, 95% CI: 1.11–1.93, AUC = 0.73). CRP showed no significant association (OR = 1.03, 95% CI: 0.69–1.55).</w:t>
      </w:r>
    </w:p>
    <w:p w14:paraId="77B3FBDC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>Age-Stratified Models</w:t>
      </w:r>
    </w:p>
    <w:p w14:paraId="4ED22939" w14:textId="77777777" w:rsidR="00E26B52" w:rsidRPr="00E26B52" w:rsidRDefault="00E26B52" w:rsidP="00E26B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≥50 years (n = 3,188): Depression was not significantly associated with cancer (OR = 1.05, 95% CI: 0.96–1.15). CRP was inversely associated (OR = 0.74, 95% CI: 0.65–0.84), with modest model performance (AUC = 0.59).</w:t>
      </w:r>
    </w:p>
    <w:p w14:paraId="6F8444C0" w14:textId="77777777" w:rsidR="00E26B52" w:rsidRPr="00E26B52" w:rsidRDefault="00E26B52" w:rsidP="00E26B5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&lt;50 years: Continuous models yielded less consistent results; depression effects attenuated, and CRP associations weakened.</w:t>
      </w:r>
    </w:p>
    <w:p w14:paraId="404E59CF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 xml:space="preserve">Sensitivity Analysis (&lt;50 Excluding </w:t>
      </w:r>
      <w:proofErr w:type="spellStart"/>
      <w:r w:rsidRPr="00E26B52">
        <w:rPr>
          <w:rFonts w:ascii="Times New Roman" w:hAnsi="Times New Roman" w:cs="Times New Roman"/>
          <w:b/>
          <w:bCs/>
        </w:rPr>
        <w:t>hsCRP</w:t>
      </w:r>
      <w:proofErr w:type="spellEnd"/>
      <w:r w:rsidRPr="00E26B52">
        <w:rPr>
          <w:rFonts w:ascii="Times New Roman" w:hAnsi="Times New Roman" w:cs="Times New Roman"/>
          <w:b/>
          <w:bCs/>
        </w:rPr>
        <w:t xml:space="preserve"> &gt;10 mg/L)</w:t>
      </w:r>
    </w:p>
    <w:p w14:paraId="18D82EF2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After removing participants with very high CRP values, the results for CRP remained stable, indicating that the associations were not driven solely by acute inflammatory outliers.</w:t>
      </w:r>
    </w:p>
    <w:p w14:paraId="388DBE19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>Younger Cutoff Analyses</w:t>
      </w:r>
    </w:p>
    <w:p w14:paraId="30C2AA29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When focusing on progressively younger patients:</w:t>
      </w:r>
    </w:p>
    <w:p w14:paraId="3706C202" w14:textId="77777777" w:rsidR="00E26B52" w:rsidRPr="00E26B52" w:rsidRDefault="00E26B52" w:rsidP="00E26B5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&lt;45 years (n ≈ 1,498): PHQ-9 was null (OR = 1.00), and CRP trended inversely (OR = 0.71, 95% CI: 0.49–1.03, AUC = 0.65).</w:t>
      </w:r>
    </w:p>
    <w:p w14:paraId="194D9BC6" w14:textId="77777777" w:rsidR="00E26B52" w:rsidRPr="00E26B52" w:rsidRDefault="00E26B52" w:rsidP="00E26B5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&lt;40 years (n ≈ 1,160): Depression trended below 1 (OR = 0.90, 95% CI: 0.56–1.45), while CRP was significantly below 1 (OR = 0.61, 95% CI: 0.41–0.90, AUC = 0.75).</w:t>
      </w:r>
    </w:p>
    <w:p w14:paraId="515DB4A0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These findings do not support the hypothesis that stress and inflammation play a stronger role in the youngest cancer patients. Instead, CRP showed inverse associations in very early-onset cases.</w:t>
      </w:r>
    </w:p>
    <w:p w14:paraId="12E732B9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6B52">
        <w:rPr>
          <w:rFonts w:ascii="Times New Roman" w:hAnsi="Times New Roman" w:cs="Times New Roman"/>
          <w:b/>
          <w:bCs/>
        </w:rPr>
        <w:t>Stratified Analyses</w:t>
      </w:r>
    </w:p>
    <w:p w14:paraId="4A919974" w14:textId="77777777" w:rsidR="00E26B52" w:rsidRPr="00E26B52" w:rsidRDefault="00E26B52" w:rsidP="00E26B52">
      <w:pPr>
        <w:spacing w:line="276" w:lineRule="auto"/>
        <w:jc w:val="both"/>
        <w:rPr>
          <w:rFonts w:ascii="Times New Roman" w:hAnsi="Times New Roman" w:cs="Times New Roman"/>
        </w:rPr>
      </w:pPr>
      <w:r w:rsidRPr="00E26B52">
        <w:rPr>
          <w:rFonts w:ascii="Times New Roman" w:hAnsi="Times New Roman" w:cs="Times New Roman"/>
        </w:rPr>
        <w:t>In subgroup analyses among &lt;50 participants, PHQ-9 and CRP associations varied modestly by sex and race/ethnicity. However, wide confidence intervals and reduced sample sizes limited interpretability. No single demographic group showed consistently stronger effects.</w:t>
      </w:r>
    </w:p>
    <w:p w14:paraId="5BEE65FD" w14:textId="77777777" w:rsidR="00667F29" w:rsidRPr="00E26B52" w:rsidRDefault="00667F29" w:rsidP="00E26B52">
      <w:pPr>
        <w:spacing w:line="276" w:lineRule="auto"/>
        <w:jc w:val="both"/>
        <w:rPr>
          <w:rFonts w:ascii="Times New Roman" w:hAnsi="Times New Roman" w:cs="Times New Roman"/>
        </w:rPr>
      </w:pPr>
    </w:p>
    <w:sectPr w:rsidR="00667F29" w:rsidRPr="00E2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95D46"/>
    <w:multiLevelType w:val="multilevel"/>
    <w:tmpl w:val="0C1E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1024D"/>
    <w:multiLevelType w:val="multilevel"/>
    <w:tmpl w:val="CF4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655045">
    <w:abstractNumId w:val="1"/>
  </w:num>
  <w:num w:numId="2" w16cid:durableId="30365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EB"/>
    <w:rsid w:val="00334D8E"/>
    <w:rsid w:val="0043107C"/>
    <w:rsid w:val="005879ED"/>
    <w:rsid w:val="00637643"/>
    <w:rsid w:val="00667F29"/>
    <w:rsid w:val="006B726C"/>
    <w:rsid w:val="00782619"/>
    <w:rsid w:val="008A4BD2"/>
    <w:rsid w:val="008A6226"/>
    <w:rsid w:val="00A44683"/>
    <w:rsid w:val="00CA11EB"/>
    <w:rsid w:val="00E2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F315"/>
  <w15:chartTrackingRefBased/>
  <w15:docId w15:val="{677834B3-56F1-42FE-A0EE-EF914D3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1464</Characters>
  <Application>Microsoft Office Word</Application>
  <DocSecurity>0</DocSecurity>
  <Lines>20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Houston Methodist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Mavurapu, Mukesh reddy</dc:creator>
  <cp:keywords/>
  <dc:description/>
  <cp:lastModifiedBy>Tarun Mathur</cp:lastModifiedBy>
  <cp:revision>2</cp:revision>
  <dcterms:created xsi:type="dcterms:W3CDTF">2025-09-08T03:11:00Z</dcterms:created>
  <dcterms:modified xsi:type="dcterms:W3CDTF">2025-09-08T03:11:00Z</dcterms:modified>
</cp:coreProperties>
</file>