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717b464100db9b5f50f713681bb1df5652f217"/>
    <w:p>
      <w:pPr>
        <w:pStyle w:val="Heading1"/>
      </w:pPr>
      <w:r>
        <w:t xml:space="preserve">Corpus Index — Meridian Trust Bank Dispute &amp; Fraud Policy Library</w:t>
      </w:r>
    </w:p>
    <w:p>
      <w:pPr>
        <w:pStyle w:val="FirstParagraph"/>
      </w:pPr>
      <w:r>
        <w:rPr>
          <w:bCs/>
          <w:b/>
        </w:rPr>
        <w:t xml:space="preserve">Corpus snapshot:</w:t>
      </w:r>
      <w:r>
        <w:t xml:space="preserve"> </w:t>
      </w:r>
      <w:r>
        <w:t xml:space="preserve">2026-07-01</w:t>
      </w:r>
      <w:r>
        <w:t xml:space="preserve"> </w:t>
      </w:r>
      <w:r>
        <w:rPr>
          <w:bCs/>
          <w:b/>
        </w:rPr>
        <w:t xml:space="preserve">Documents:</w:t>
      </w:r>
      <w:r>
        <w:t xml:space="preserve"> </w:t>
      </w:r>
      <w:r>
        <w:t xml:space="preserve">5</w:t>
      </w:r>
      <w:r>
        <w:t xml:space="preserve"> </w:t>
      </w:r>
      <w:r>
        <w:rPr>
          <w:bCs/>
          <w:b/>
        </w:rPr>
        <w:t xml:space="preserve">Active provisions:</w:t>
      </w:r>
      <w:r>
        <w:t xml:space="preserve"> </w:t>
      </w:r>
      <w:r>
        <w:t xml:space="preserve">101</w:t>
      </w:r>
      <w:r>
        <w:t xml:space="preserve"> </w:t>
      </w:r>
      <w:r>
        <w:rPr>
          <w:bCs/>
          <w:b/>
        </w:rPr>
        <w:t xml:space="preserve">Superseded versions:</w:t>
      </w:r>
      <w:r>
        <w:t xml:space="preserve"> </w:t>
      </w:r>
      <w:r>
        <w:t xml:space="preserve">4</w:t>
      </w:r>
      <w:r>
        <w:t xml:space="preserve"> </w:t>
      </w:r>
      <w:r>
        <w:rPr>
          <w:bCs/>
          <w:b/>
        </w:rPr>
        <w:t xml:space="preserve">Total retrievable chunks:</w:t>
      </w:r>
      <w:r>
        <w:t xml:space="preserve"> </w:t>
      </w:r>
      <w:r>
        <w:t xml:space="preserve">105</w:t>
      </w:r>
    </w:p>
    <w:p>
      <w:pPr>
        <w:pStyle w:val="BlockText"/>
      </w:pPr>
      <w:r>
        <w:rPr>
          <w:iCs/>
          <w:i/>
        </w:rPr>
        <w:t xml:space="preserve">Synthetic corpus created for academic use. Meridian Trust Bank does not exist. No provision here reflects the policy of any real institution, and regulatory citations are illustrative rather than authoritative — verify against actual CFR text before relying on any of it outside this project.</w:t>
      </w:r>
    </w:p>
    <w:p>
      <w:r>
        <w:pict>
          <v:rect style="width:0;height:1.5pt" o:hralign="center" o:hrstd="t" o:hr="t"/>
        </w:pict>
      </w:r>
    </w:p>
    <w:bookmarkStart w:id="20" w:name="documents"/>
    <w:p>
      <w:pPr>
        <w:pStyle w:val="Heading2"/>
      </w:pPr>
      <w:r>
        <w:t xml:space="preserve">1. Documents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Card Dispute and Fraud Claims Adjudication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CCD-{section}.{rule}[.{sub}]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 Card and EFT Dispute Adjudication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DBD-{section}.{rule}[.{sub}]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Person-to-Person Transfer Dispute and Fraud Claims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ZEL-{section}.{rule}[.{sub}]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 Dispute, Return, and Unauthorized Debit Adjudication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ACH-{section}.{rule}[.{sub}]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Cross-Rail Fraud Investigation, Scoring, and Claims Governance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FRD-{section}.{rule}[.{sub}]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uggested-chunk-metadata"/>
    <w:p>
      <w:pPr>
        <w:pStyle w:val="Heading2"/>
      </w:pPr>
      <w:r>
        <w:t xml:space="preserve">2. Suggested Chunk Metadata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###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####</w:t>
      </w:r>
      <w:r>
        <w:t xml:space="preserve"> </w:t>
      </w:r>
      <w:r>
        <w:t xml:space="preserve">heading is one chunk. Suggested extraction: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"CCD-4.2"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"citation_label"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"CCD-4.2"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Card Dispute and Fraud Claims Adjudication Policy"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"internal_policy"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"issuing_body"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"Disputes &amp; Fraud Operations"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"supersedes"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"CCD-4.2-v1"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"superseded_by"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"4. Provisional Credit"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"CCD-4.2 Provisional Credit Timing"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"parent_chunk_id"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"CCD-4"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"credit_card"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"cross_references"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"CCD-4.1"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"CCD-4.3"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"regulatory_basis"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"Regulation Z §1026.13(d)"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"corpus_snapshot"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"embedding_model"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"&lt;pin this&gt;"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**Effective:**</w:t>
      </w:r>
      <w:r>
        <w:t xml:space="preserve">,</w:t>
      </w:r>
      <w:r>
        <w:t xml:space="preserve"> </w:t>
      </w:r>
      <w:r>
        <w:rPr>
          <w:rStyle w:val="VerbatimChar"/>
        </w:rPr>
        <w:t xml:space="preserve">**Supersedes:**</w:t>
      </w:r>
      <w:r>
        <w:t xml:space="preserve">,</w:t>
      </w:r>
      <w:r>
        <w:t xml:space="preserve"> </w:t>
      </w:r>
      <w:r>
        <w:rPr>
          <w:rStyle w:val="VerbatimChar"/>
        </w:rPr>
        <w:t xml:space="preserve">**Cross-references:**</w:t>
      </w:r>
      <w:r>
        <w:t xml:space="preserve">,</w:t>
      </w:r>
      <w:r>
        <w:t xml:space="preserve"> </w:t>
      </w:r>
      <w:r>
        <w:rPr>
          <w:rStyle w:val="VerbatimChar"/>
        </w:rPr>
        <w:t xml:space="preserve">**Applies to:**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**Regulatory basis:**</w:t>
      </w:r>
      <w:r>
        <w:t xml:space="preserve"> </w:t>
      </w:r>
      <w:r>
        <w:t xml:space="preserve">lines are machine-parseable — they appear in a fixed order directly under each heading. Parse them into metadata and strip them from the embedded text, or keep them in; test both, since including the effective dates in the embedded text sometimes helps and sometimes adds noise.</w:t>
      </w:r>
    </w:p>
    <w:p>
      <w:pPr>
        <w:pStyle w:val="BodyText"/>
      </w:pPr>
      <w:r>
        <w:rPr>
          <w:bCs/>
          <w:b/>
        </w:rPr>
        <w:t xml:space="preserve">Embed the heading path with the text.</w:t>
      </w:r>
      <w:r>
        <w:t xml:space="preserve"> </w:t>
      </w:r>
      <w:r>
        <w:rPr>
          <w:rStyle w:val="VerbatimChar"/>
        </w:rPr>
        <w:t xml:space="preserve">"4. Provisional Credit &gt; CCD-4.2 Provisional Credit Timing: Where a cardholder is eligible..."</w:t>
      </w:r>
      <w:r>
        <w:t xml:space="preserve"> </w:t>
      </w:r>
      <w:r>
        <w:t xml:space="preserve">retrieves better than the bare clause.</w:t>
      </w:r>
    </w:p>
    <w:p>
      <w:r>
        <w:pict>
          <v:rect style="width:0;height:1.5pt" o:hralign="center" o:hrstd="t" o:hr="t"/>
        </w:pict>
      </w:r>
    </w:p>
    <w:bookmarkEnd w:id="21"/>
    <w:bookmarkStart w:id="22" w:name="X81a7311552bda1e66a27edfadb561e12aae94e9"/>
    <w:p>
      <w:pPr>
        <w:pStyle w:val="Heading2"/>
      </w:pPr>
      <w:r>
        <w:t xml:space="preserve">3. Superseded Pairs — for Effective-Date Filter Testing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CCD-4.2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CCD-4.2-v1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Provisional credit: 10 business days → 2 business days; $2,500 deferral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DBD-4.2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DBD-4.2-v1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account: 60 days → 30 days; no provisional credit → 20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ZEL-2.2.a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ZEL-2.2.a-v1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Imposter scope: Meridian only → any FI/government/utility; 30 → 60 day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FRD-8.1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FRD-8.1-v1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denials: prohibited → permitted with all checks resolved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Suggested demo:</w:t>
      </w:r>
      <w:r>
        <w:t xml:space="preserve"> </w:t>
      </w:r>
      <w:r>
        <w:t xml:space="preserve">a credit card claim with date of first notice</w:t>
      </w:r>
      <w:r>
        <w:t xml:space="preserve"> </w:t>
      </w:r>
      <w:r>
        <w:rPr>
          <w:bCs/>
          <w:b/>
        </w:rPr>
        <w:t xml:space="preserve">2024-11-15</w:t>
      </w:r>
      <w:r>
        <w:t xml:space="preserve"> </w:t>
      </w:r>
      <w:r>
        <w:t xml:space="preserve">must retrieve</w:t>
      </w:r>
      <w:r>
        <w:t xml:space="preserve"> </w:t>
      </w:r>
      <w:r>
        <w:rPr>
          <w:bCs/>
          <w:b/>
        </w:rPr>
        <w:t xml:space="preserve">CCD-4.2-v1</w:t>
      </w:r>
      <w:r>
        <w:t xml:space="preserve"> </w:t>
      </w:r>
      <w:r>
        <w:t xml:space="preserve">(10 business days), not CCD-4.2 (2 business days). If your retrieval returns the current version, the effective-date pre-filter is not working. This one example proves the entire date-filtering design.</w:t>
      </w:r>
    </w:p>
    <w:p>
      <w:pPr>
        <w:pStyle w:val="BodyText"/>
      </w:pPr>
      <w:r>
        <w:rPr>
          <w:bCs/>
          <w:b/>
        </w:rPr>
        <w:t xml:space="preserve">Harder variant:</w:t>
      </w:r>
      <w:r>
        <w:t xml:space="preserve"> </w:t>
      </w:r>
      <w:r>
        <w:t xml:space="preserve">a Zelle imposter claim with send date</w:t>
      </w:r>
      <w:r>
        <w:t xml:space="preserve"> </w:t>
      </w:r>
      <w:r>
        <w:rPr>
          <w:bCs/>
          <w:b/>
        </w:rPr>
        <w:t xml:space="preserve">2025-11-20</w:t>
      </w:r>
      <w:r>
        <w:t xml:space="preserve">, where the impersonator posed as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bank. Under ZEL-2.2.a-v1 (in force) 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reimbursable — the old rule covers only Meridian impersonation. Under the current ZEL-2.2.a it would be. An agent that retrieves the current version approves a claim that should be denied.</w:t>
      </w:r>
    </w:p>
    <w:p>
      <w:r>
        <w:pict>
          <v:rect style="width:0;height:1.5pt" o:hralign="center" o:hrstd="t" o:hr="t"/>
        </w:pict>
      </w:r>
    </w:p>
    <w:bookmarkEnd w:id="22"/>
    <w:bookmarkStart w:id="23" w:name="X899389782cb2615d88128b580c7dbf2357e8601"/>
    <w:p>
      <w:pPr>
        <w:pStyle w:val="Heading2"/>
      </w:pPr>
      <w:r>
        <w:t xml:space="preserve">4. Near-Duplicate Provisions — for MMR and Score-Margin Testing</w:t>
      </w:r>
    </w:p>
    <w:p>
      <w:pPr>
        <w:pStyle w:val="FirstParagraph"/>
      </w:pPr>
      <w:r>
        <w:t xml:space="preserve">These pairs read almost identically and will crowd each other in similarity search: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dangerous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CCD-2.1 / DBD-2.1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  <w:r>
              <w:t xml:space="preserve"> </w:t>
            </w:r>
            <w:r>
              <w:t xml:space="preserve">“</w:t>
            </w:r>
            <w:r>
              <w:t xml:space="preserve">60 calendar days from statement transmission.</w:t>
            </w:r>
            <w:r>
              <w:t xml:space="preserve">”</w:t>
            </w:r>
            <w:r>
              <w:t xml:space="preserve"> </w:t>
            </w:r>
            <w:r>
              <w:t xml:space="preserve">Different rails, different liability consequences. Each carries an explicit adjudicator note warning about the other.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CCD-7.1 / DBD-7.1 / ZEL-7.1 / ACH-7.1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denial-grounds lists with overlapping enumerations. A query about denial grounds will return all four.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CCD-9.1 / DBD-9.1 / ZEL-8.1 / ACH-9.1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business-account exclusions with near-identical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CCD-8.1 / DBD-8.1 / ACH-8.1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recurring-transaction rules, similar structure, different revocation mechanics.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ACH-2.1 / ACH-2.3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60-day vs. business 2-day return window, same document, adjacent text.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Test:</w:t>
      </w:r>
      <w:r>
        <w:t xml:space="preserve"> </w:t>
      </w:r>
      <w:r>
        <w:t xml:space="preserve">query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is the filing deadline for a disputed transaction</w:t>
      </w:r>
      <w:r>
        <w:rPr>
          <w:iCs/>
          <w:i/>
        </w:rPr>
        <w:t xml:space="preserve">”</w:t>
      </w:r>
      <w:r>
        <w:t xml:space="preserve"> </w:t>
      </w:r>
      <w:r>
        <w:t xml:space="preserve">without a rail filter. Without scope routing you’ll get a mix of CCD-2.1, DBD-2.1, ZEL-2.3, and ACH-2.1 — with margins tight enough that rank-1 is close to arbitrary. This is exactly the condition your score-margin detector should flag as AMBIGUOUS rather than close a check.</w:t>
      </w:r>
    </w:p>
    <w:p>
      <w:r>
        <w:pict>
          <v:rect style="width:0;height:1.5pt" o:hralign="center" o:hrstd="t" o:hr="t"/>
        </w:pict>
      </w:r>
    </w:p>
    <w:bookmarkEnd w:id="23"/>
    <w:bookmarkStart w:id="24" w:name="X99e919a741bf3758dedda12172e205524e9a421"/>
    <w:p>
      <w:pPr>
        <w:pStyle w:val="Heading2"/>
      </w:pPr>
      <w:r>
        <w:t xml:space="preserve">5. Cross-Reference Chains — for Completeness Testing</w:t>
      </w:r>
    </w:p>
    <w:p>
      <w:pPr>
        <w:pStyle w:val="FirstParagraph"/>
      </w:pPr>
      <w:r>
        <w:t xml:space="preserve">Provisions that are incomplete without a second retrieval: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Retrieve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you also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CCD-2.3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CCD-2.3.a, CCD-2.3.b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parent states extension is available</w:t>
            </w:r>
            <w:r>
              <w:t xml:space="preserve"> </w:t>
            </w:r>
            <w:r>
              <w:rPr>
                <w:iCs/>
                <w:i/>
              </w:rPr>
              <w:t xml:space="preserve">only</w:t>
            </w:r>
            <w:r>
              <w:t xml:space="preserve"> </w:t>
            </w:r>
            <w:r>
              <w:t xml:space="preserve">via the subrules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CCD-3.2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CCD-3.2.a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waiver conditions live in the subrule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DBD-2.3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DBD-2.3.a/b/c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tiers are entirely in the subrules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ZEL-2.2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ZEL-2.2.a, ZEL-3.3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Denial requires both recall attempt and exception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ACH-6.1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ACH-3.2, ACH-6.3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 vs. never-authorized distinction and the stop-payment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FRD-2.2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FRD-2.4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depends on exclusions defined elsewhere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rail denial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FRD-8.2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score may not be cited as a ground in the notice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Deepest chain:</w:t>
      </w:r>
      <w:r>
        <w:t xml:space="preserve"> </w:t>
      </w:r>
      <w:r>
        <w:t xml:space="preserve">ZEL-2.2 → ZEL-2.2.a → ZEL-6.1 → FRD-3.2 → FRD-3.3. Four hops from</w:t>
      </w:r>
      <w:r>
        <w:t xml:space="preserve"> </w:t>
      </w:r>
      <w:r>
        <w:t xml:space="preserve">“</w:t>
      </w:r>
      <w:r>
        <w:t xml:space="preserve">consumer sent money to a scammer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here is what evidence is required before you may infer first-party fraud.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Xd9686d52018ce3fc09c006a3169e085db154fb0"/>
    <w:p>
      <w:pPr>
        <w:pStyle w:val="Heading2"/>
      </w:pPr>
      <w:r>
        <w:t xml:space="preserve">6. Deliberate Coverage Gaps — for Score-Floor Testing</w:t>
      </w:r>
    </w:p>
    <w:p>
      <w:pPr>
        <w:pStyle w:val="FirstParagraph"/>
      </w:pPr>
      <w:r>
        <w:t xml:space="preserve">The corpus contains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provision governing these. A correct agent returns nothing and blocks the check; an agent with fixed top-k returns the nearest neighbour and reasons from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Wire transfer disputes</w:t>
      </w:r>
      <w:r>
        <w:t xml:space="preserve"> </w:t>
      </w:r>
      <w:r>
        <w:t xml:space="preserve">— explicitly excluded at ZEL-1.1, covered nowhere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Foreign currency conversion disputes</w:t>
      </w:r>
      <w:r>
        <w:t xml:space="preserve"> </w:t>
      </w:r>
      <w:r>
        <w:t xml:space="preserve">on any rail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Cryptocurrency purchases</w:t>
      </w:r>
      <w:r>
        <w:t xml:space="preserve"> </w:t>
      </w:r>
      <w:r>
        <w:t xml:space="preserve">and exchange-related claims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 fraud / forged endorsement</w:t>
      </w:r>
      <w:r>
        <w:t xml:space="preserve"> </w:t>
      </w:r>
      <w:r>
        <w:t xml:space="preserve">— no provision anywhere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Merchant service quality on P2P</w:t>
      </w:r>
      <w:r>
        <w:t xml:space="preserve"> </w:t>
      </w:r>
      <w:r>
        <w:t xml:space="preserve">— CCD-3.2 covers card, nothing covers Zelle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Disputes on closed accounts</w:t>
      </w:r>
      <w:r>
        <w:t xml:space="preserve"> </w:t>
      </w:r>
      <w:r>
        <w:t xml:space="preserve">— no provision on where credit is directed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Joint accountholder disputing the other’s transaction</w:t>
      </w:r>
      <w:r>
        <w:t xml:space="preserve"> </w:t>
      </w:r>
      <w:r>
        <w:t xml:space="preserve">— CCD-9.2 covers authorized users on credit, no analogue for joint deposit accounts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Minor accountholder claims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is the filing window for a disputed wire transfer?</w:t>
      </w:r>
      <w:r>
        <w:rPr>
          <w:iCs/>
          <w:i/>
        </w:rPr>
        <w:t xml:space="preserve">”</w:t>
      </w:r>
      <w:r>
        <w:t xml:space="preserve"> </w:t>
      </w:r>
      <w:r>
        <w:t xml:space="preserve">Correct behavior is zero results above the floor →</w:t>
      </w:r>
      <w:r>
        <w:t xml:space="preserve"> </w:t>
      </w:r>
      <w:r>
        <w:rPr>
          <w:rStyle w:val="VerbatimChar"/>
        </w:rPr>
        <w:t xml:space="preserve">BLOCKED_NEEDS_HUMAN</w:t>
      </w:r>
      <w:r>
        <w:t xml:space="preserve">. Watch for retrieval of ACH-2.1 or ZEL-2.3 as false positives — they’re the nearest neighbours and neither governs.</w:t>
      </w:r>
    </w:p>
    <w:p>
      <w:r>
        <w:pict>
          <v:rect style="width:0;height:1.5pt" o:hralign="center" o:hrstd="t" o:hr="t"/>
        </w:pict>
      </w:r>
    </w:p>
    <w:bookmarkEnd w:id="25"/>
    <w:bookmarkStart w:id="26" w:name="provisions-with-structured-applicability"/>
    <w:p>
      <w:pPr>
        <w:pStyle w:val="Heading2"/>
      </w:pPr>
      <w:r>
        <w:t xml:space="preserve">7. Provisions with Structured Applicability</w:t>
      </w:r>
    </w:p>
    <w:p>
      <w:pPr>
        <w:pStyle w:val="FirstParagraph"/>
      </w:pPr>
      <w:r>
        <w:t xml:space="preserve">These carry explicit enumerated conditions and are good candidates for extracting</w:t>
      </w:r>
      <w:r>
        <w:t xml:space="preserve"> </w:t>
      </w:r>
      <w:r>
        <w:rPr>
          <w:rStyle w:val="VerbatimChar"/>
        </w:rPr>
        <w:t xml:space="preserve">applies_to</w:t>
      </w:r>
      <w:r>
        <w:t xml:space="preserve"> </w:t>
      </w:r>
      <w:r>
        <w:t xml:space="preserve">fields to validate programmatically rather than trusting the model’s reading: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ZEL-2.2.a</w:t>
      </w:r>
      <w:r>
        <w:t xml:space="preserve"> </w:t>
      </w:r>
      <w:r>
        <w:t xml:space="preserve">— four conditions, all required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CCD-3.2.a</w:t>
      </w:r>
      <w:r>
        <w:t xml:space="preserve"> </w:t>
      </w:r>
      <w:r>
        <w:t xml:space="preserve">— five waiver grounds, any one sufficient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FRD-2.4</w:t>
      </w:r>
      <w:r>
        <w:t xml:space="preserve"> </w:t>
      </w:r>
      <w:r>
        <w:t xml:space="preserve">— eight exclusions, any one sufficient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FRD-4.2</w:t>
      </w:r>
      <w:r>
        <w:t xml:space="preserve"> </w:t>
      </w:r>
      <w:r>
        <w:t xml:space="preserve">— six indicators, any two required, within a 30-day window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FRD-3.2</w:t>
      </w:r>
      <w:r>
        <w:t xml:space="preserve"> </w:t>
      </w:r>
      <w:r>
        <w:t xml:space="preserve">— three thresholds, any one sufficient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DBD-2.3.a/b/c</w:t>
      </w:r>
      <w:r>
        <w:t xml:space="preserve"> </w:t>
      </w:r>
      <w:r>
        <w:t xml:space="preserve">— mutually exclusive tiers keyed to notice timing</w:t>
      </w:r>
    </w:p>
    <w:p>
      <w:pPr>
        <w:pStyle w:val="FirstParagraph"/>
      </w:pPr>
      <w:r>
        <w:t xml:space="preserve">FRD-4.2 is the best test of applicability validation:</w:t>
      </w:r>
      <w:r>
        <w:t xml:space="preserve"> </w:t>
      </w:r>
      <w:r>
        <w:t xml:space="preserve">“</w:t>
      </w:r>
      <w:r>
        <w:t xml:space="preserve">any two of six within 30 days</w:t>
      </w:r>
      <w:r>
        <w:t xml:space="preserve">”</w:t>
      </w:r>
      <w:r>
        <w:t xml:space="preserve"> </w:t>
      </w:r>
      <w:r>
        <w:t xml:space="preserve">is a rule a model will happily satisfy with one indicator and a plausible-sounding second.</w:t>
      </w:r>
    </w:p>
    <w:p>
      <w:r>
        <w:pict>
          <v:rect style="width:0;height:1.5pt" o:hralign="center" o:hrstd="t" o:hr="t"/>
        </w:pict>
      </w:r>
    </w:p>
    <w:bookmarkEnd w:id="26"/>
    <w:bookmarkStart w:id="27" w:name="suggested-golden-set-scenarios"/>
    <w:p>
      <w:pPr>
        <w:pStyle w:val="Heading2"/>
      </w:pPr>
      <w:r>
        <w:t xml:space="preserve">8. Suggested Golden-Set Scenarios</w:t>
      </w:r>
    </w:p>
    <w:p>
      <w:pPr>
        <w:pStyle w:val="FirstParagraph"/>
      </w:pPr>
      <w:r>
        <w:t xml:space="preserve">Starting points for a retrieval regression suite: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retrieve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card claim, first notice 2024-11-15, provisional credit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CCD-4.2-v1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Effective-date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Zelle imposter (other bank), send date 2025-11-20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ZEL-2.2.a-v1 → not reimbursable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filter changing the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 claim, account open 45 days, first notice 2025-08-01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DBD-4.2 (30-day threshold — does not qualify)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+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#3 but first notice 2025-05-01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DBD-4.2-v1 (60-day threshold — qualifies)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facts, opposite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Filing deadline for disputed transaction,</w:t>
            </w:r>
            <w:r>
              <w:t xml:space="preserve">”</w:t>
            </w:r>
            <w:r>
              <w:t xml:space="preserve"> </w:t>
            </w:r>
            <w:r>
              <w:t xml:space="preserve">no rail given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 — flag, don’t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transfer dispute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above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floor / empty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ACH claim on day 75 after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ACH-2.1 + adjudicator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 E claim survives closed network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Zelle scam, consumer sent voluntarily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ZEL-1.2, ZEL-2.2, ZEL-2.2.a, ZEL-3.3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Multi-hop completeness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card claim, disputed $7,500, low fraud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FRD-2.4 ground 1 — no automated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 overriding score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where 1 of 6 ATO indicators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FRD-4.2 — threshold not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Applicability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proprietor debit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DBD-9.1 — predominant purpose must be determined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 before applying a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Fourth claim in 10 months, no other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FRD-3.2 → FRD-3.3 (review required, denial prohibited)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≠ denial</w:t>
            </w:r>
          </w:p>
        </w:tc>
      </w:tr>
    </w:tbl>
    <w:p>
      <w:pPr>
        <w:pStyle w:val="BodyText"/>
      </w:pPr>
      <w:r>
        <w:t xml:space="preserve">Scenarios 3 and 4 are the most valuable pair in the set: identical facts, different notice dates, opposite outcomes, driven entirely by which version of DBD-4.2 was in force.</w:t>
      </w:r>
    </w:p>
    <w:p>
      <w:r>
        <w:pict>
          <v:rect style="width:0;height:1.5pt" o:hralign="center" o:hrstd="t" o:hr="t"/>
        </w:pict>
      </w:r>
    </w:p>
    <w:bookmarkEnd w:id="27"/>
    <w:bookmarkStart w:id="28" w:name="notes-on-deliberate-design"/>
    <w:p>
      <w:pPr>
        <w:pStyle w:val="Heading2"/>
      </w:pPr>
      <w:r>
        <w:t xml:space="preserve">9. Notes on Deliberate Design</w:t>
      </w:r>
    </w:p>
    <w:p>
      <w:pPr>
        <w:pStyle w:val="FirstParagraph"/>
      </w:pPr>
      <w:r>
        <w:t xml:space="preserve">A few things were built in on purpose that may look like drafting errors: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adjudicator notes in CCD-2.1 and DBD-2.1</w:t>
      </w:r>
      <w:r>
        <w:t xml:space="preserve"> </w:t>
      </w:r>
      <w:r>
        <w:t xml:space="preserve">warn about each other. Real policy documents do this, and it gives your cross-reference extraction something to find.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ACH-2.1 contains two different deadlines</w:t>
      </w:r>
      <w:r>
        <w:t xml:space="preserve"> </w:t>
      </w:r>
      <w:r>
        <w:t xml:space="preserve">— the consumer’s Regulation E claim right and the bank’s network return right. Conflating them is a real and common error, and the note calls it out explicitly.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ZEL-4.1 states its own consequence</w:t>
      </w:r>
      <w:r>
        <w:t xml:space="preserve"> </w:t>
      </w:r>
      <w:r>
        <w:t xml:space="preserve">(</w:t>
      </w:r>
      <w:r>
        <w:t xml:space="preserve">“</w:t>
      </w:r>
      <w:r>
        <w:t xml:space="preserve">the most consequential error available in this policy</w:t>
      </w:r>
      <w:r>
        <w:t xml:space="preserve">”</w:t>
      </w:r>
      <w:r>
        <w:t xml:space="preserve">). Provisions occasionally editorialize; this tests whether your chunker keeps such framing with the operative text.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FRD-1.1 establishes a precedence rule</w:t>
      </w:r>
      <w:r>
        <w:t xml:space="preserve"> </w:t>
      </w:r>
      <w:r>
        <w:t xml:space="preserve">— rail-specific governs substance, FRD governs process. An agent that retrieves an FRD provision and a rail provision needs this to resolve the conflict.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FRD-8.1 describes your own agent’s constraints.</w:t>
      </w:r>
      <w:r>
        <w:t xml:space="preserve"> </w:t>
      </w:r>
      <w:r>
        <w:t xml:space="preserve">The corpus contains the rule that an automated system may not deny on unresolved checks. Your agent retrieving and applying that provision to itself is a reasonable demo.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2026-08-16T22:47:43Z</dcterms:created>
  <dcterms:modified xsi:type="dcterms:W3CDTF">2026-08-16T22:47:43Z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