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3229f44a8d746c82a66d6b7ab7ee8b4e6eb3e5"/>
    <w:p>
      <w:pPr>
        <w:pStyle w:val="Heading1"/>
      </w:pPr>
      <w:r>
        <w:t xml:space="preserve">Meridian Trust Bank — Credit Card Dispute &amp; Fraud Claims Policy</w:t>
      </w:r>
    </w:p>
    <w:p>
      <w:pPr>
        <w:pStyle w:val="FirstParagraph"/>
      </w:pPr>
      <w:r>
        <w:rPr>
          <w:bCs/>
          <w:b/>
        </w:rPr>
        <w:t xml:space="preserve">Document ID:</w:t>
      </w:r>
      <w:r>
        <w:t xml:space="preserve"> </w:t>
      </w:r>
      <w:r>
        <w:t xml:space="preserve">CCD</w:t>
      </w:r>
      <w:r>
        <w:t xml:space="preserve"> </w:t>
      </w:r>
      <w:r>
        <w:rPr>
          <w:bCs/>
          <w:b/>
        </w:rPr>
        <w:t xml:space="preserve">Document Title:</w:t>
      </w:r>
      <w:r>
        <w:t xml:space="preserve"> </w:t>
      </w:r>
      <w:r>
        <w:t xml:space="preserve">Credit Card Dispute and Fraud Claims Adjudication Policy</w:t>
      </w:r>
      <w:r>
        <w:t xml:space="preserve"> </w:t>
      </w:r>
      <w:r>
        <w:rPr>
          <w:bCs/>
          <w:b/>
        </w:rPr>
        <w:t xml:space="preserve">Issuing Body:</w:t>
      </w:r>
      <w:r>
        <w:t xml:space="preserve"> </w:t>
      </w:r>
      <w:r>
        <w:t xml:space="preserve">Disputes &amp; Fraud Operations, Meridian Trust Bank</w:t>
      </w:r>
      <w:r>
        <w:t xml:space="preserve"> </w:t>
      </w:r>
      <w:r>
        <w:rPr>
          <w:bCs/>
          <w:b/>
        </w:rPr>
        <w:t xml:space="preserve">Source Type:</w:t>
      </w:r>
      <w:r>
        <w:t xml:space="preserve"> </w:t>
      </w:r>
      <w:r>
        <w:t xml:space="preserve">internal_policy</w:t>
      </w:r>
      <w:r>
        <w:t xml:space="preserve"> </w:t>
      </w:r>
      <w:r>
        <w:rPr>
          <w:bCs/>
          <w:b/>
        </w:rPr>
        <w:t xml:space="preserve">Corpus Snapshot:</w:t>
      </w:r>
      <w:r>
        <w:t xml:space="preserve"> </w:t>
      </w:r>
      <w:r>
        <w:t xml:space="preserve">2026-07-01</w:t>
      </w:r>
      <w:r>
        <w:t xml:space="preserve"> </w:t>
      </w:r>
      <w:r>
        <w:rPr>
          <w:bCs/>
          <w:b/>
        </w:rPr>
        <w:t xml:space="preserve">Jurisdiction:</w:t>
      </w:r>
      <w:r>
        <w:t xml:space="preserve"> </w:t>
      </w:r>
      <w:r>
        <w:t xml:space="preserve">US (federal); state supplements noted per provision</w:t>
      </w:r>
    </w:p>
    <w:p>
      <w:pPr>
        <w:pStyle w:val="BlockText"/>
      </w:pPr>
      <w:r>
        <w:rPr>
          <w:iCs/>
          <w:i/>
        </w:rPr>
        <w:t xml:space="preserve">This is a synthetic policy document created for academic use. It does not describe any real financial institution and must not be relied upon for any operational purpose.</w:t>
      </w:r>
    </w:p>
    <w:p>
      <w:r>
        <w:pict>
          <v:rect style="width:0;height:1.5pt" o:hralign="center" o:hrstd="t" o:hr="t"/>
        </w:pict>
      </w:r>
    </w:p>
    <w:bookmarkStart w:id="22" w:name="scope-and-definitions"/>
    <w:p>
      <w:pPr>
        <w:pStyle w:val="Heading2"/>
      </w:pPr>
      <w:r>
        <w:t xml:space="preserve">1. Scope and Definitions</w:t>
      </w:r>
    </w:p>
    <w:bookmarkStart w:id="20" w:name="ccd-1.1-scope-of-this-policy"/>
    <w:p>
      <w:pPr>
        <w:pStyle w:val="Heading3"/>
      </w:pPr>
      <w:r>
        <w:t xml:space="preserve">CCD-1.1 — Scope of This Policy</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Consumer credit card accounts issued by Meridian Trust Bank</w:t>
      </w:r>
      <w:r>
        <w:br/>
      </w:r>
      <w:r>
        <w:rPr>
          <w:bCs/>
          <w:b/>
        </w:rPr>
        <w:t xml:space="preserve">Regulatory basis:</w:t>
      </w:r>
      <w:r>
        <w:t xml:space="preserve"> </w:t>
      </w:r>
      <w:r>
        <w:t xml:space="preserve">Regulation Z, 12 CFR Part 1026, Subpart B</w:t>
      </w:r>
      <w:r>
        <w:br/>
      </w:r>
      <w:r>
        <w:rPr>
          <w:bCs/>
          <w:b/>
        </w:rPr>
        <w:t xml:space="preserve">Cross-references:</w:t>
      </w:r>
      <w:r>
        <w:t xml:space="preserve"> </w:t>
      </w:r>
      <w:r>
        <w:t xml:space="preserve">CCD-9.1, FRD-1.2</w:t>
      </w:r>
    </w:p>
    <w:p>
      <w:pPr>
        <w:pStyle w:val="BodyText"/>
      </w:pPr>
      <w:r>
        <w:t xml:space="preserve">This policy governs the adjudication of billing error claims, unauthorized transaction claims, and merchant dispute claims arising on consumer credit card accounts. It does not govern debit card claims (see DBD-1.1), person-to-person transfer claims (see ZEL-1.1), or ACH entries (see ACH-1.1). Where a claim involves more than one payment rail, the adjudicator applies the policy for the rail on which the disputed transaction settled.</w:t>
      </w:r>
    </w:p>
    <w:bookmarkEnd w:id="20"/>
    <w:bookmarkStart w:id="21" w:name="ccd-1.2-definitions"/>
    <w:p>
      <w:pPr>
        <w:pStyle w:val="Heading3"/>
      </w:pPr>
      <w:r>
        <w:t xml:space="preserve">CCD-1.2 — Definitions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provisions of this document</w:t>
      </w:r>
    </w:p>
    <w:p>
      <w:pPr>
        <w:pStyle w:val="BodyText"/>
      </w:pPr>
      <w:r>
        <w:t xml:space="preserve">For purposes of this policy:</w:t>
      </w:r>
    </w:p>
    <w:p>
      <w:pPr>
        <w:pStyle w:val="BodyText"/>
      </w:pPr>
      <w:r>
        <w:rPr>
          <w:bCs/>
          <w:b/>
        </w:rPr>
        <w:t xml:space="preserve">Billing error</w:t>
      </w:r>
      <w:r>
        <w:t xml:space="preserve"> </w:t>
      </w:r>
      <w:r>
        <w:t xml:space="preserve">means a transaction the cardholder asserts was not made by the cardholder or an authorized user, was incorrectly computed, reflects goods or services not accepted or not delivered as agreed, or otherwise meets the definition at Regulation Z §1026.13(a).</w:t>
      </w:r>
    </w:p>
    <w:p>
      <w:pPr>
        <w:pStyle w:val="BodyText"/>
      </w:pPr>
      <w:r>
        <w:rPr>
          <w:bCs/>
          <w:b/>
        </w:rPr>
        <w:t xml:space="preserve">Unauthorized transaction</w:t>
      </w:r>
      <w:r>
        <w:t xml:space="preserve"> </w:t>
      </w:r>
      <w:r>
        <w:t xml:space="preserve">means a transaction initiated by a person other than the cardholder without actual, implied, or apparent authority, and from which the cardholder receives no benefit.</w:t>
      </w:r>
    </w:p>
    <w:p>
      <w:pPr>
        <w:pStyle w:val="BodyText"/>
      </w:pPr>
      <w:r>
        <w:rPr>
          <w:bCs/>
          <w:b/>
        </w:rPr>
        <w:t xml:space="preserve">Authorized user</w:t>
      </w:r>
      <w:r>
        <w:t xml:space="preserve"> </w:t>
      </w:r>
      <w:r>
        <w:t xml:space="preserve">means any person the cardholder has permitted to use the account, whether or not that person is named on the account.</w:t>
      </w:r>
    </w:p>
    <w:p>
      <w:pPr>
        <w:pStyle w:val="BodyText"/>
      </w:pPr>
      <w:r>
        <w:rPr>
          <w:bCs/>
          <w:b/>
        </w:rPr>
        <w:t xml:space="preserve">Date of first notice</w:t>
      </w:r>
      <w:r>
        <w:t xml:space="preserve"> </w:t>
      </w:r>
      <w:r>
        <w:t xml:space="preserve">means the date the bank received the cardholder’s assertion in any form, including telephone, secure message, written correspondence, or in-branch report. It is not the date the claim was keyed into the claims system.</w:t>
      </w:r>
    </w:p>
    <w:p>
      <w:pPr>
        <w:pStyle w:val="BodyText"/>
      </w:pPr>
      <w:r>
        <w:rPr>
          <w:bCs/>
          <w:b/>
        </w:rPr>
        <w:t xml:space="preserve">Merchant</w:t>
      </w:r>
      <w:r>
        <w:t xml:space="preserve"> </w:t>
      </w:r>
      <w:r>
        <w:t xml:space="preserve">means the acquiring party that submitted the transaction for authorization, identified by the merchant descriptor appearing on the cardholder statement.</w:t>
      </w:r>
    </w:p>
    <w:p>
      <w:r>
        <w:pict>
          <v:rect style="width:0;height:1.5pt" o:hralign="center" o:hrstd="t" o:hr="t"/>
        </w:pict>
      </w:r>
    </w:p>
    <w:bookmarkEnd w:id="21"/>
    <w:bookmarkEnd w:id="22"/>
    <w:bookmarkStart w:id="28" w:name="filing-windows"/>
    <w:p>
      <w:pPr>
        <w:pStyle w:val="Heading2"/>
      </w:pPr>
      <w:r>
        <w:t xml:space="preserve">2. Filing Windows</w:t>
      </w:r>
    </w:p>
    <w:bookmarkStart w:id="23" w:name="X9d1724759e036c1936c62efea5a9aa488cbaed2"/>
    <w:p>
      <w:pPr>
        <w:pStyle w:val="Heading3"/>
      </w:pPr>
      <w:r>
        <w:t xml:space="preserve">CCD-2.1 — Standard Filing Window for Billing Errors</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Consumer credit card accounts; billing error claims under CCD-1.2</w:t>
      </w:r>
      <w:r>
        <w:br/>
      </w:r>
      <w:r>
        <w:rPr>
          <w:bCs/>
          <w:b/>
        </w:rPr>
        <w:t xml:space="preserve">Regulatory basis:</w:t>
      </w:r>
      <w:r>
        <w:t xml:space="preserve"> </w:t>
      </w:r>
      <w:r>
        <w:t xml:space="preserve">Regulation Z §1026.13(b)(1)</w:t>
      </w:r>
      <w:r>
        <w:br/>
      </w:r>
      <w:r>
        <w:rPr>
          <w:bCs/>
          <w:b/>
        </w:rPr>
        <w:t xml:space="preserve">Cross-references:</w:t>
      </w:r>
      <w:r>
        <w:t xml:space="preserve"> </w:t>
      </w:r>
      <w:r>
        <w:t xml:space="preserve">CCD-2.3, DBD-2.1</w:t>
      </w:r>
    </w:p>
    <w:p>
      <w:pPr>
        <w:pStyle w:val="BodyText"/>
      </w:pPr>
      <w:r>
        <w:t xml:space="preserve">A billing error claim must be received no later than</w:t>
      </w:r>
      <w:r>
        <w:t xml:space="preserve"> </w:t>
      </w:r>
      <w:r>
        <w:rPr>
          <w:bCs/>
          <w:b/>
        </w:rPr>
        <w:t xml:space="preserve">60 calendar days</w:t>
      </w:r>
      <w:r>
        <w:t xml:space="preserve"> </w:t>
      </w:r>
      <w:r>
        <w:t xml:space="preserve">after the bank transmitted the first periodic statement on which the alleged error appeared. Timeliness is measured from the statement transmission date to the date of first notice, not to the date of claim entry.</w:t>
      </w:r>
    </w:p>
    <w:p>
      <w:pPr>
        <w:pStyle w:val="BodyText"/>
      </w:pPr>
      <w:r>
        <w:t xml:space="preserve">A claim received on day 60 is timely. A claim received on day 61 or later is untimely and must be denied under CCD-7.1 unless an exception at CCD-2.3 applies.</w:t>
      </w:r>
    </w:p>
    <w:p>
      <w:pPr>
        <w:pStyle w:val="BlockText"/>
      </w:pPr>
      <w:r>
        <w:rPr>
          <w:bCs/>
          <w:b/>
        </w:rPr>
        <w:t xml:space="preserve">Note for adjudicators:</w:t>
      </w:r>
      <w:r>
        <w:t xml:space="preserve"> </w:t>
      </w:r>
      <w:r>
        <w:t xml:space="preserve">the filing window for debit card claims (DBD-2.1) is also 60 days but is measured from a different reference point and carries different remedies. Confirm which rail applies before applying a filing rule.</w:t>
      </w:r>
    </w:p>
    <w:bookmarkEnd w:id="23"/>
    <w:bookmarkStart w:id="24" w:name="Xa6f19195869c0aee3f09e7343fc821d4f28893f"/>
    <w:p>
      <w:pPr>
        <w:pStyle w:val="Heading3"/>
      </w:pPr>
      <w:r>
        <w:t xml:space="preserve">CCD-2.2 — Filing Window for Unauthorized Transaction Claims</w:t>
      </w:r>
    </w:p>
    <w:p>
      <w:pPr>
        <w:pStyle w:val="FirstParagraph"/>
      </w:pPr>
      <w:r>
        <w:rPr>
          <w:bCs/>
          <w:b/>
        </w:rPr>
        <w:t xml:space="preserve">Effective:</w:t>
      </w:r>
      <w:r>
        <w:t xml:space="preserve"> </w:t>
      </w:r>
      <w:r>
        <w:t xml:space="preserve">2024-03-01 → present</w:t>
      </w:r>
      <w:r>
        <w:br/>
      </w:r>
      <w:r>
        <w:rPr>
          <w:bCs/>
          <w:b/>
        </w:rPr>
        <w:t xml:space="preserve">Applies to:</w:t>
      </w:r>
      <w:r>
        <w:t xml:space="preserve"> </w:t>
      </w:r>
      <w:r>
        <w:t xml:space="preserve">Consumer credit card accounts; unauthorized transaction claims</w:t>
      </w:r>
      <w:r>
        <w:br/>
      </w:r>
      <w:r>
        <w:rPr>
          <w:bCs/>
          <w:b/>
        </w:rPr>
        <w:t xml:space="preserve">Regulatory basis:</w:t>
      </w:r>
      <w:r>
        <w:t xml:space="preserve"> </w:t>
      </w:r>
      <w:r>
        <w:t xml:space="preserve">Regulation Z §1026.12(b); internal policy extension</w:t>
      </w:r>
      <w:r>
        <w:br/>
      </w:r>
      <w:r>
        <w:rPr>
          <w:bCs/>
          <w:b/>
        </w:rPr>
        <w:t xml:space="preserve">Cross-references:</w:t>
      </w:r>
      <w:r>
        <w:t xml:space="preserve"> </w:t>
      </w:r>
      <w:r>
        <w:t xml:space="preserve">CCD-2.1, CCD-9.2, FRD-4.2</w:t>
      </w:r>
    </w:p>
    <w:p>
      <w:pPr>
        <w:pStyle w:val="BodyText"/>
      </w:pPr>
      <w:r>
        <w:t xml:space="preserve">Claims of unauthorized use are accepted without regard to the 60-day billing error window. Cardholder liability for unauthorized use is limited to</w:t>
      </w:r>
      <w:r>
        <w:t xml:space="preserve"> </w:t>
      </w:r>
      <w:r>
        <w:rPr>
          <w:bCs/>
          <w:b/>
        </w:rPr>
        <w:t xml:space="preserve">$50</w:t>
      </w:r>
      <w:r>
        <w:t xml:space="preserve"> </w:t>
      </w:r>
      <w:r>
        <w:t xml:space="preserve">in all cases, and Meridian Trust waives that liability in full as a matter of policy for consumer accounts.</w:t>
      </w:r>
    </w:p>
    <w:p>
      <w:pPr>
        <w:pStyle w:val="BodyText"/>
      </w:pPr>
      <w:r>
        <w:t xml:space="preserve">However, a claim of unauthorized use received more than</w:t>
      </w:r>
      <w:r>
        <w:t xml:space="preserve"> </w:t>
      </w:r>
      <w:r>
        <w:rPr>
          <w:bCs/>
          <w:b/>
        </w:rPr>
        <w:t xml:space="preserve">180 calendar days</w:t>
      </w:r>
      <w:r>
        <w:t xml:space="preserve"> </w:t>
      </w:r>
      <w:r>
        <w:t xml:space="preserve">after the transaction posting date requires supervisory review under FRD-6.1 before provisional credit may be issued, because the delay materially impairs the bank’s ability to pursue chargeback rights under CCD-6.1.</w:t>
      </w:r>
    </w:p>
    <w:bookmarkEnd w:id="24"/>
    <w:bookmarkStart w:id="27" w:name="ccd-2.3-extension-of-the-filing-window"/>
    <w:p>
      <w:pPr>
        <w:pStyle w:val="Heading3"/>
      </w:pPr>
      <w:r>
        <w:t xml:space="preserve">CCD-2.3 — Extension of the Filing Window</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Billing error claims received after the CCD-2.1 window</w:t>
      </w:r>
      <w:r>
        <w:br/>
      </w:r>
      <w:r>
        <w:rPr>
          <w:bCs/>
          <w:b/>
        </w:rPr>
        <w:t xml:space="preserve">Regulatory basis:</w:t>
      </w:r>
      <w:r>
        <w:t xml:space="preserve"> </w:t>
      </w:r>
      <w:r>
        <w:t xml:space="preserve">Regulation Z §1026.13(b)(1), Official Interpretation</w:t>
      </w:r>
      <w:r>
        <w:br/>
      </w:r>
      <w:r>
        <w:rPr>
          <w:bCs/>
          <w:b/>
        </w:rPr>
        <w:t xml:space="preserve">Cross-references:</w:t>
      </w:r>
      <w:r>
        <w:t xml:space="preserve"> </w:t>
      </w:r>
      <w:r>
        <w:t xml:space="preserve">CCD-2.1, CCD-7.1</w:t>
      </w:r>
    </w:p>
    <w:p>
      <w:pPr>
        <w:pStyle w:val="BodyText"/>
      </w:pPr>
      <w:r>
        <w:t xml:space="preserve">The 60-day window at CCD-2.1 may be extended where the cardholder’s failure to file timely was attributable to circumstances beyond the cardholder’s control. Extension is available only where documented under CCD-2.3.a or CCD-2.3.b. The adjudicator may not grant an extension on general equitable grounds.</w:t>
      </w:r>
    </w:p>
    <w:p>
      <w:pPr>
        <w:pStyle w:val="BodyText"/>
      </w:pPr>
      <w:r>
        <w:t xml:space="preserve">The maximum extension available under this provision is</w:t>
      </w:r>
      <w:r>
        <w:t xml:space="preserve"> </w:t>
      </w:r>
      <w:r>
        <w:rPr>
          <w:bCs/>
          <w:b/>
        </w:rPr>
        <w:t xml:space="preserve">180 calendar days</w:t>
      </w:r>
      <w:r>
        <w:t xml:space="preserve"> </w:t>
      </w:r>
      <w:r>
        <w:t xml:space="preserve">beyond the original window.</w:t>
      </w:r>
    </w:p>
    <w:bookmarkStart w:id="25" w:name="Xf67f1cce2f010ee3f957296f8d3bcbed4d78b00"/>
    <w:p>
      <w:pPr>
        <w:pStyle w:val="Heading4"/>
      </w:pPr>
      <w:r>
        <w:t xml:space="preserve">CCD-2.3.a — Extension for Hospitalization or Deployment</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Extension requests under CCD-2.3</w:t>
      </w:r>
      <w:r>
        <w:br/>
      </w:r>
      <w:r>
        <w:rPr>
          <w:bCs/>
          <w:b/>
        </w:rPr>
        <w:t xml:space="preserve">Conditions:</w:t>
      </w:r>
      <w:r>
        <w:t xml:space="preserve"> </w:t>
      </w:r>
      <w:r>
        <w:t xml:space="preserve">documented hospitalization, incapacity, or military deployment covering the filing window</w:t>
      </w:r>
    </w:p>
    <w:p>
      <w:pPr>
        <w:pStyle w:val="BodyText"/>
      </w:pPr>
      <w:r>
        <w:t xml:space="preserve">An extension is granted where the cardholder provides documentation showing hospitalization, medically documented incapacity, or active military deployment for a period overlapping at least 30 days of the original filing window. Acceptable documentation includes a discharge summary, a physician’s letter, or deployment orders. Self-attestation is not sufficient.</w:t>
      </w:r>
    </w:p>
    <w:bookmarkEnd w:id="25"/>
    <w:bookmarkStart w:id="26" w:name="Xccc0aa6f7c74b0bab86b02d7f22c17f6963b2c9"/>
    <w:p>
      <w:pPr>
        <w:pStyle w:val="Heading4"/>
      </w:pPr>
      <w:r>
        <w:t xml:space="preserve">CCD-2.3.b — Extension for Statement Non-Delivery</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Extension requests under CCD-2.3</w:t>
      </w:r>
      <w:r>
        <w:br/>
      </w:r>
      <w:r>
        <w:rPr>
          <w:bCs/>
          <w:b/>
        </w:rPr>
        <w:t xml:space="preserve">Conditions:</w:t>
      </w:r>
      <w:r>
        <w:t xml:space="preserve"> </w:t>
      </w:r>
      <w:r>
        <w:t xml:space="preserve">bank records confirm statement return or delivery failure</w:t>
      </w:r>
    </w:p>
    <w:p>
      <w:pPr>
        <w:pStyle w:val="BodyText"/>
      </w:pPr>
      <w:r>
        <w:t xml:space="preserve">An extension is granted where bank records show the periodic statement was returned undelivered, or where an electronic statement notification failed and no successful delivery was recorded within the filing window. The adjudicator must confirm the delivery failure in the statement delivery log; a cardholder assertion of non-receipt, standing alone, does not satisfy this provision.</w:t>
      </w:r>
    </w:p>
    <w:p>
      <w:r>
        <w:pict>
          <v:rect style="width:0;height:1.5pt" o:hralign="center" o:hrstd="t" o:hr="t"/>
        </w:pict>
      </w:r>
    </w:p>
    <w:bookmarkEnd w:id="26"/>
    <w:bookmarkEnd w:id="27"/>
    <w:bookmarkEnd w:id="28"/>
    <w:bookmarkStart w:id="32" w:name="documentation-requirements"/>
    <w:p>
      <w:pPr>
        <w:pStyle w:val="Heading2"/>
      </w:pPr>
      <w:r>
        <w:t xml:space="preserve">3. Documentation Requirements</w:t>
      </w:r>
    </w:p>
    <w:bookmarkStart w:id="29" w:name="ccd-3.1-required-claim-documentation"/>
    <w:p>
      <w:pPr>
        <w:pStyle w:val="Heading3"/>
      </w:pPr>
      <w:r>
        <w:t xml:space="preserve">CCD-3.1 — Required Claim Documentation</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All credit card dispute claims</w:t>
      </w:r>
      <w:r>
        <w:br/>
      </w:r>
      <w:r>
        <w:rPr>
          <w:bCs/>
          <w:b/>
        </w:rPr>
        <w:t xml:space="preserve">Cross-references:</w:t>
      </w:r>
      <w:r>
        <w:t xml:space="preserve"> </w:t>
      </w:r>
      <w:r>
        <w:t xml:space="preserve">CCD-3.2, FRD-7.1</w:t>
      </w:r>
    </w:p>
    <w:p>
      <w:pPr>
        <w:pStyle w:val="BodyText"/>
      </w:pPr>
      <w:r>
        <w:t xml:space="preserve">A claim file must contain, at minimum: the transaction identifier and posting date; the cardholder’s description of the dispute; the reason category selected; and the date of first notice. A claim missing any of these elements is incomplete and must be returned for completion rather than denied.</w:t>
      </w:r>
    </w:p>
    <w:p>
      <w:pPr>
        <w:pStyle w:val="BodyText"/>
      </w:pPr>
      <w:r>
        <w:t xml:space="preserve">For merchandise and services disputes, the file must additionally contain evidence of the cardholder’s attempt to resolve with the merchant under CCD-3.2, unless waived under CCD-3.2.a.</w:t>
      </w:r>
    </w:p>
    <w:bookmarkEnd w:id="29"/>
    <w:bookmarkStart w:id="31" w:name="ccd-3.2-merchant-resolution-attempt"/>
    <w:p>
      <w:pPr>
        <w:pStyle w:val="Heading3"/>
      </w:pPr>
      <w:r>
        <w:t xml:space="preserve">CCD-3.2 — Merchant Resolution Attempt</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Merchandise, services, and quality disputes; not applicable to unauthorized transaction claims</w:t>
      </w:r>
      <w:r>
        <w:br/>
      </w:r>
      <w:r>
        <w:rPr>
          <w:bCs/>
          <w:b/>
        </w:rPr>
        <w:t xml:space="preserve">Regulatory basis:</w:t>
      </w:r>
      <w:r>
        <w:t xml:space="preserve"> </w:t>
      </w:r>
      <w:r>
        <w:t xml:space="preserve">Regulation Z §1026.12(c)(3)(i) (good faith attempt to resolve)</w:t>
      </w:r>
      <w:r>
        <w:br/>
      </w:r>
      <w:r>
        <w:rPr>
          <w:bCs/>
          <w:b/>
        </w:rPr>
        <w:t xml:space="preserve">Cross-references:</w:t>
      </w:r>
      <w:r>
        <w:t xml:space="preserve"> </w:t>
      </w:r>
      <w:r>
        <w:t xml:space="preserve">CCD-3.2.a, CCD-6.1</w:t>
      </w:r>
    </w:p>
    <w:p>
      <w:pPr>
        <w:pStyle w:val="BodyText"/>
      </w:pPr>
      <w:r>
        <w:t xml:space="preserve">Before a merchandise or services dispute may proceed to chargeback, the cardholder must have made a good faith attempt to resolve the matter directly with the merchant. The claim file must record the date of contact, the method, and the merchant’s response or the absence of one.</w:t>
      </w:r>
    </w:p>
    <w:p>
      <w:pPr>
        <w:pStyle w:val="BodyText"/>
      </w:pPr>
      <w:r>
        <w:t xml:space="preserve">This requirement does not apply to claims of unauthorized use under CCD-2.2.</w:t>
      </w:r>
    </w:p>
    <w:bookmarkStart w:id="30" w:name="X0b83e7afdc7136c12a2cc3488f841955bdfbf30"/>
    <w:p>
      <w:pPr>
        <w:pStyle w:val="Heading4"/>
      </w:pPr>
      <w:r>
        <w:t xml:space="preserve">CCD-3.2.a — Waiver of the Merchant Resolution Requirement</w:t>
      </w:r>
    </w:p>
    <w:p>
      <w:pPr>
        <w:pStyle w:val="FirstParagraph"/>
      </w:pPr>
      <w:r>
        <w:rPr>
          <w:bCs/>
          <w:b/>
        </w:rPr>
        <w:t xml:space="preserve">Effective:</w:t>
      </w:r>
      <w:r>
        <w:t xml:space="preserve"> </w:t>
      </w:r>
      <w:r>
        <w:t xml:space="preserve">2024-06-01 → present</w:t>
      </w:r>
      <w:r>
        <w:br/>
      </w:r>
      <w:r>
        <w:rPr>
          <w:bCs/>
          <w:b/>
        </w:rPr>
        <w:t xml:space="preserve">Applies to:</w:t>
      </w:r>
      <w:r>
        <w:t xml:space="preserve"> </w:t>
      </w:r>
      <w:r>
        <w:t xml:space="preserve">Waiver requests under CCD-3.2</w:t>
      </w:r>
      <w:r>
        <w:br/>
      </w:r>
      <w:r>
        <w:rPr>
          <w:bCs/>
          <w:b/>
        </w:rPr>
        <w:t xml:space="preserve">Conditions:</w:t>
      </w:r>
      <w:r>
        <w:t xml:space="preserve"> </w:t>
      </w:r>
      <w:r>
        <w:t xml:space="preserve">any one of the enumerated circumstances below</w:t>
      </w:r>
    </w:p>
    <w:p>
      <w:pPr>
        <w:pStyle w:val="BodyText"/>
      </w:pPr>
      <w:r>
        <w:t xml:space="preserve">The merchant resolution requirement is waived where any of the following is documented:</w:t>
      </w:r>
    </w:p>
    <w:p>
      <w:pPr>
        <w:numPr>
          <w:ilvl w:val="0"/>
          <w:numId w:val="1001"/>
        </w:numPr>
        <w:pStyle w:val="Compact"/>
      </w:pPr>
      <w:r>
        <w:t xml:space="preserve">The merchant has ceased operations, as evidenced by a returned mailing, a disconnected number of record, or a public filing;</w:t>
      </w:r>
    </w:p>
    <w:p>
      <w:pPr>
        <w:numPr>
          <w:ilvl w:val="0"/>
          <w:numId w:val="1001"/>
        </w:numPr>
        <w:pStyle w:val="Compact"/>
      </w:pPr>
      <w:r>
        <w:t xml:space="preserve">The merchant is subject to an active bankruptcy proceeding;</w:t>
      </w:r>
    </w:p>
    <w:p>
      <w:pPr>
        <w:numPr>
          <w:ilvl w:val="0"/>
          <w:numId w:val="1001"/>
        </w:numPr>
        <w:pStyle w:val="Compact"/>
      </w:pPr>
      <w:r>
        <w:t xml:space="preserve">The cardholder has made at least two documented contact attempts across at least 15 calendar days without response;</w:t>
      </w:r>
    </w:p>
    <w:p>
      <w:pPr>
        <w:numPr>
          <w:ilvl w:val="0"/>
          <w:numId w:val="1001"/>
        </w:numPr>
        <w:pStyle w:val="Compact"/>
      </w:pPr>
      <w:r>
        <w:t xml:space="preserve">Contact would expose the cardholder to a documented safety risk;</w:t>
      </w:r>
    </w:p>
    <w:p>
      <w:pPr>
        <w:numPr>
          <w:ilvl w:val="0"/>
          <w:numId w:val="1001"/>
        </w:numPr>
        <w:pStyle w:val="Compact"/>
      </w:pPr>
      <w:r>
        <w:t xml:space="preserve">The transaction is under review as part of a merchant-level fraud event under FRD-2.4.</w:t>
      </w:r>
    </w:p>
    <w:p>
      <w:r>
        <w:pict>
          <v:rect style="width:0;height:1.5pt" o:hralign="center" o:hrstd="t" o:hr="t"/>
        </w:pict>
      </w:r>
    </w:p>
    <w:bookmarkEnd w:id="30"/>
    <w:bookmarkEnd w:id="31"/>
    <w:bookmarkEnd w:id="32"/>
    <w:bookmarkStart w:id="37" w:name="provisional-credit"/>
    <w:p>
      <w:pPr>
        <w:pStyle w:val="Heading2"/>
      </w:pPr>
      <w:r>
        <w:t xml:space="preserve">4. Provisional Credit</w:t>
      </w:r>
    </w:p>
    <w:bookmarkStart w:id="33" w:name="ccd-4.1-provisional-credit-eligibility"/>
    <w:p>
      <w:pPr>
        <w:pStyle w:val="Heading3"/>
      </w:pPr>
      <w:r>
        <w:t xml:space="preserve">CCD-4.1 — Provisional Credit Eligibility</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Consumer credit card claims meeting CCD-2.1 or CCD-2.2</w:t>
      </w:r>
      <w:r>
        <w:br/>
      </w:r>
      <w:r>
        <w:rPr>
          <w:bCs/>
          <w:b/>
        </w:rPr>
        <w:t xml:space="preserve">Cross-references:</w:t>
      </w:r>
      <w:r>
        <w:t xml:space="preserve"> </w:t>
      </w:r>
      <w:r>
        <w:t xml:space="preserve">CCD-4.2, CCD-4.3, FRD-2.4</w:t>
      </w:r>
    </w:p>
    <w:p>
      <w:pPr>
        <w:pStyle w:val="BodyText"/>
      </w:pPr>
      <w:r>
        <w:t xml:space="preserve">A cardholder is eligible for provisional credit where the claim is timely under Section 2, the documentation requirements of CCD-3.1 are satisfied, and the claim is not excluded from automated approval under FRD-2.4.</w:t>
      </w:r>
    </w:p>
    <w:p>
      <w:pPr>
        <w:pStyle w:val="BodyText"/>
      </w:pPr>
      <w:r>
        <w:t xml:space="preserve">Provisional credit is not available for claims on accounts in charge-off status, accounts subject to an active first-party fraud review under FRD-3.3, or commercial accounts excluded under CCD-9.1.</w:t>
      </w:r>
    </w:p>
    <w:bookmarkEnd w:id="33"/>
    <w:bookmarkStart w:id="34" w:name="ccd-4.2-provisional-credit-timing"/>
    <w:p>
      <w:pPr>
        <w:pStyle w:val="Heading3"/>
      </w:pPr>
      <w:r>
        <w:t xml:space="preserve">CCD-4.2 — Provisional Credit Timing</w:t>
      </w:r>
    </w:p>
    <w:p>
      <w:pPr>
        <w:pStyle w:val="FirstParagraph"/>
      </w:pPr>
      <w:r>
        <w:rPr>
          <w:bCs/>
          <w:b/>
        </w:rPr>
        <w:t xml:space="preserve">Effective:</w:t>
      </w:r>
      <w:r>
        <w:t xml:space="preserve"> </w:t>
      </w:r>
      <w:r>
        <w:t xml:space="preserve">2025-01-01 → present</w:t>
      </w:r>
      <w:r>
        <w:br/>
      </w:r>
      <w:r>
        <w:rPr>
          <w:bCs/>
          <w:b/>
        </w:rPr>
        <w:t xml:space="preserve">Supersedes:</w:t>
      </w:r>
      <w:r>
        <w:t xml:space="preserve"> </w:t>
      </w:r>
      <w:r>
        <w:t xml:space="preserve">CCD-4.2-v1</w:t>
      </w:r>
      <w:r>
        <w:br/>
      </w:r>
      <w:r>
        <w:rPr>
          <w:bCs/>
          <w:b/>
        </w:rPr>
        <w:t xml:space="preserve">Applies to:</w:t>
      </w:r>
      <w:r>
        <w:t xml:space="preserve"> </w:t>
      </w:r>
      <w:r>
        <w:t xml:space="preserve">Claims eligible under CCD-4.1</w:t>
      </w:r>
      <w:r>
        <w:br/>
      </w:r>
      <w:r>
        <w:rPr>
          <w:bCs/>
          <w:b/>
        </w:rPr>
        <w:t xml:space="preserve">Regulatory basis:</w:t>
      </w:r>
      <w:r>
        <w:t xml:space="preserve"> </w:t>
      </w:r>
      <w:r>
        <w:t xml:space="preserve">Regulation Z §1026.13(d); internal service standard</w:t>
      </w:r>
      <w:r>
        <w:br/>
      </w:r>
      <w:r>
        <w:rPr>
          <w:bCs/>
          <w:b/>
        </w:rPr>
        <w:t xml:space="preserve">Cross-references:</w:t>
      </w:r>
      <w:r>
        <w:t xml:space="preserve"> </w:t>
      </w:r>
      <w:r>
        <w:t xml:space="preserve">CCD-4.1, CCD-4.3</w:t>
      </w:r>
    </w:p>
    <w:p>
      <w:pPr>
        <w:pStyle w:val="BodyText"/>
      </w:pPr>
      <w:r>
        <w:t xml:space="preserve">Where a cardholder is eligible under CCD-4.1, provisional credit in the full disputed amount must be applied to the account no later than</w:t>
      </w:r>
      <w:r>
        <w:t xml:space="preserve"> </w:t>
      </w:r>
      <w:r>
        <w:rPr>
          <w:bCs/>
          <w:b/>
        </w:rPr>
        <w:t xml:space="preserve">2 business days</w:t>
      </w:r>
      <w:r>
        <w:t xml:space="preserve"> </w:t>
      </w:r>
      <w:r>
        <w:t xml:space="preserve">after the date of first notice.</w:t>
      </w:r>
    </w:p>
    <w:p>
      <w:pPr>
        <w:pStyle w:val="BodyText"/>
      </w:pPr>
      <w:r>
        <w:t xml:space="preserve">Interest and fees attributable to the disputed amount must be reversed at the same time. The cardholder may not be required to pay the disputed amount, or any interest or fee attributable to it, while the investigation is open.</w:t>
      </w:r>
    </w:p>
    <w:bookmarkEnd w:id="34"/>
    <w:bookmarkStart w:id="35" w:name="X3e75eff616b4dea623b3aa0a05735432f76c3cd"/>
    <w:p>
      <w:pPr>
        <w:pStyle w:val="Heading3"/>
      </w:pPr>
      <w:r>
        <w:t xml:space="preserve">CCD-4.2-v1 — Provisional Credit Timing</w:t>
      </w:r>
      <w:r>
        <w:t xml:space="preserve"> </w:t>
      </w:r>
      <w:r>
        <w:rPr>
          <w:iCs/>
          <w:i/>
        </w:rPr>
        <w:t xml:space="preserve">(superseded)</w:t>
      </w:r>
    </w:p>
    <w:p>
      <w:pPr>
        <w:pStyle w:val="FirstParagraph"/>
      </w:pPr>
      <w:r>
        <w:rPr>
          <w:bCs/>
          <w:b/>
        </w:rPr>
        <w:t xml:space="preserve">Effective:</w:t>
      </w:r>
      <w:r>
        <w:t xml:space="preserve"> </w:t>
      </w:r>
      <w:r>
        <w:t xml:space="preserve">2023-06-01 → 2024-12-31</w:t>
      </w:r>
      <w:r>
        <w:br/>
      </w:r>
      <w:r>
        <w:rPr>
          <w:bCs/>
          <w:b/>
        </w:rPr>
        <w:t xml:space="preserve">Superseded by:</w:t>
      </w:r>
      <w:r>
        <w:t xml:space="preserve"> </w:t>
      </w:r>
      <w:r>
        <w:t xml:space="preserve">CCD-4.2</w:t>
      </w:r>
      <w:r>
        <w:br/>
      </w:r>
      <w:r>
        <w:rPr>
          <w:bCs/>
          <w:b/>
        </w:rPr>
        <w:t xml:space="preserve">Applies to:</w:t>
      </w:r>
      <w:r>
        <w:t xml:space="preserve"> </w:t>
      </w:r>
      <w:r>
        <w:t xml:space="preserve">Claims with a date of first notice within the effective period</w:t>
      </w:r>
      <w:r>
        <w:br/>
      </w:r>
      <w:r>
        <w:rPr>
          <w:bCs/>
          <w:b/>
        </w:rPr>
        <w:t xml:space="preserve">Status:</w:t>
      </w:r>
      <w:r>
        <w:t xml:space="preserve"> </w:t>
      </w:r>
      <w:r>
        <w:t xml:space="preserve">SUPERSEDED — applies only to claims whose date of first notice falls on or before 2024-12-31</w:t>
      </w:r>
    </w:p>
    <w:p>
      <w:pPr>
        <w:pStyle w:val="BodyText"/>
      </w:pPr>
      <w:r>
        <w:t xml:space="preserve">Where a cardholder is eligible under CCD-4.1, provisional credit in the full disputed amount must be applied to the account no later than</w:t>
      </w:r>
      <w:r>
        <w:t xml:space="preserve"> </w:t>
      </w:r>
      <w:r>
        <w:rPr>
          <w:bCs/>
          <w:b/>
        </w:rPr>
        <w:t xml:space="preserve">10 business days</w:t>
      </w:r>
      <w:r>
        <w:t xml:space="preserve"> </w:t>
      </w:r>
      <w:r>
        <w:t xml:space="preserve">after the date of first notice. For disputed amounts exceeding $2,500, provisional credit may be deferred until the earlier of completion of the investigation or</w:t>
      </w:r>
      <w:r>
        <w:t xml:space="preserve"> </w:t>
      </w:r>
      <w:r>
        <w:rPr>
          <w:bCs/>
          <w:b/>
        </w:rPr>
        <w:t xml:space="preserve">20 business days</w:t>
      </w:r>
      <w:r>
        <w:t xml:space="preserve"> </w:t>
      </w:r>
      <w:r>
        <w:t xml:space="preserve">after the date of first notice.</w:t>
      </w:r>
    </w:p>
    <w:bookmarkEnd w:id="35"/>
    <w:bookmarkStart w:id="36" w:name="ccd-4.3-reversal-of-provisional-credit"/>
    <w:p>
      <w:pPr>
        <w:pStyle w:val="Heading3"/>
      </w:pPr>
      <w:r>
        <w:t xml:space="preserve">CCD-4.3 — Reversal of Provisional Credit</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Accounts holding provisional credit under CCD-4.2</w:t>
      </w:r>
      <w:r>
        <w:br/>
      </w:r>
      <w:r>
        <w:rPr>
          <w:bCs/>
          <w:b/>
        </w:rPr>
        <w:t xml:space="preserve">Cross-references:</w:t>
      </w:r>
      <w:r>
        <w:t xml:space="preserve"> </w:t>
      </w:r>
      <w:r>
        <w:t xml:space="preserve">CCD-4.2, CCD-7.2</w:t>
      </w:r>
    </w:p>
    <w:p>
      <w:pPr>
        <w:pStyle w:val="BodyText"/>
      </w:pPr>
      <w:r>
        <w:t xml:space="preserve">Provisional credit may be reversed only after the investigation concludes in the merchant’s favor and the cardholder has received written notice of the determination under CCD-7.2. Reversal may not occur earlier than</w:t>
      </w:r>
      <w:r>
        <w:t xml:space="preserve"> </w:t>
      </w:r>
      <w:r>
        <w:rPr>
          <w:bCs/>
          <w:b/>
        </w:rPr>
        <w:t xml:space="preserve">5 business days</w:t>
      </w:r>
      <w:r>
        <w:t xml:space="preserve"> </w:t>
      </w:r>
      <w:r>
        <w:t xml:space="preserve">after that notice is transmitted.</w:t>
      </w:r>
    </w:p>
    <w:p>
      <w:pPr>
        <w:pStyle w:val="BodyText"/>
      </w:pPr>
      <w:r>
        <w:t xml:space="preserve">Where the cardholder has appealed under CCD-7.2, reversal is stayed until the appeal is resolved.</w:t>
      </w:r>
    </w:p>
    <w:p>
      <w:r>
        <w:pict>
          <v:rect style="width:0;height:1.5pt" o:hralign="center" o:hrstd="t" o:hr="t"/>
        </w:pict>
      </w:r>
    </w:p>
    <w:bookmarkEnd w:id="36"/>
    <w:bookmarkEnd w:id="37"/>
    <w:bookmarkStart w:id="40" w:name="investigation-timeline"/>
    <w:p>
      <w:pPr>
        <w:pStyle w:val="Heading2"/>
      </w:pPr>
      <w:r>
        <w:t xml:space="preserve">5. Investigation Timeline</w:t>
      </w:r>
    </w:p>
    <w:bookmarkStart w:id="38" w:name="ccd-5.1-standard-investigation-timeline"/>
    <w:p>
      <w:pPr>
        <w:pStyle w:val="Heading3"/>
      </w:pPr>
      <w:r>
        <w:t xml:space="preserve">CCD-5.1 — Standard Investigation Timeline</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credit card dispute claims</w:t>
      </w:r>
      <w:r>
        <w:br/>
      </w:r>
      <w:r>
        <w:rPr>
          <w:bCs/>
          <w:b/>
        </w:rPr>
        <w:t xml:space="preserve">Regulatory basis:</w:t>
      </w:r>
      <w:r>
        <w:t xml:space="preserve"> </w:t>
      </w:r>
      <w:r>
        <w:t xml:space="preserve">Regulation Z §1026.13(c)(2)</w:t>
      </w:r>
      <w:r>
        <w:br/>
      </w:r>
      <w:r>
        <w:rPr>
          <w:bCs/>
          <w:b/>
        </w:rPr>
        <w:t xml:space="preserve">Cross-references:</w:t>
      </w:r>
      <w:r>
        <w:t xml:space="preserve"> </w:t>
      </w:r>
      <w:r>
        <w:t xml:space="preserve">CCD-5.2, CCD-7.2</w:t>
      </w:r>
    </w:p>
    <w:p>
      <w:pPr>
        <w:pStyle w:val="BodyText"/>
      </w:pPr>
      <w:r>
        <w:t xml:space="preserve">The bank must resolve a billing error claim and transmit the determination to the cardholder no later than</w:t>
      </w:r>
      <w:r>
        <w:t xml:space="preserve"> </w:t>
      </w:r>
      <w:r>
        <w:rPr>
          <w:bCs/>
          <w:b/>
        </w:rPr>
        <w:t xml:space="preserve">two complete billing cycles</w:t>
      </w:r>
      <w:r>
        <w:t xml:space="preserve">, and in no event more than</w:t>
      </w:r>
      <w:r>
        <w:t xml:space="preserve"> </w:t>
      </w:r>
      <w:r>
        <w:rPr>
          <w:bCs/>
          <w:b/>
        </w:rPr>
        <w:t xml:space="preserve">90 calendar days</w:t>
      </w:r>
      <w:r>
        <w:t xml:space="preserve">, after the date of first notice.</w:t>
      </w:r>
    </w:p>
    <w:p>
      <w:pPr>
        <w:pStyle w:val="BodyText"/>
      </w:pPr>
      <w:r>
        <w:t xml:space="preserve">Where the investigation concludes earlier, the determination must be transmitted within 3 business days of conclusion rather than held to the outer limit.</w:t>
      </w:r>
    </w:p>
    <w:bookmarkEnd w:id="38"/>
    <w:bookmarkStart w:id="39" w:name="Xd11563aa09f64d4477e8442812dfccd499e84b2"/>
    <w:p>
      <w:pPr>
        <w:pStyle w:val="Heading3"/>
      </w:pPr>
      <w:r>
        <w:t xml:space="preserve">CCD-5.2 — Conditions for Extension of Investigation</w:t>
      </w:r>
    </w:p>
    <w:p>
      <w:pPr>
        <w:pStyle w:val="FirstParagraph"/>
      </w:pPr>
      <w:r>
        <w:rPr>
          <w:bCs/>
          <w:b/>
        </w:rPr>
        <w:t xml:space="preserve">Effective:</w:t>
      </w:r>
      <w:r>
        <w:t xml:space="preserve"> </w:t>
      </w:r>
      <w:r>
        <w:t xml:space="preserve">2024-09-01 → present</w:t>
      </w:r>
      <w:r>
        <w:br/>
      </w:r>
      <w:r>
        <w:rPr>
          <w:bCs/>
          <w:b/>
        </w:rPr>
        <w:t xml:space="preserve">Applies to:</w:t>
      </w:r>
      <w:r>
        <w:t xml:space="preserve"> </w:t>
      </w:r>
      <w:r>
        <w:t xml:space="preserve">Investigations approaching the CCD-5.1 limit</w:t>
      </w:r>
      <w:r>
        <w:br/>
      </w:r>
      <w:r>
        <w:rPr>
          <w:bCs/>
          <w:b/>
        </w:rPr>
        <w:t xml:space="preserve">Cross-references:</w:t>
      </w:r>
      <w:r>
        <w:t xml:space="preserve"> </w:t>
      </w:r>
      <w:r>
        <w:t xml:space="preserve">CCD-5.1, CCD-6.2</w:t>
      </w:r>
    </w:p>
    <w:p>
      <w:pPr>
        <w:pStyle w:val="BodyText"/>
      </w:pPr>
      <w:r>
        <w:t xml:space="preserve">The investigation period may not be extended beyond the CCD-5.1 limit. Where a chargeback representment under CCD-6.2 is pending at the limit, the bank must resolve the claim in the cardholder’s favor and pursue recovery separately. The pendency of a network process is not grounds for delaying the cardholder determination.</w:t>
      </w:r>
    </w:p>
    <w:p>
      <w:r>
        <w:pict>
          <v:rect style="width:0;height:1.5pt" o:hralign="center" o:hrstd="t" o:hr="t"/>
        </w:pict>
      </w:r>
    </w:p>
    <w:bookmarkEnd w:id="39"/>
    <w:bookmarkEnd w:id="40"/>
    <w:bookmarkStart w:id="44" w:name="chargeback-processing"/>
    <w:p>
      <w:pPr>
        <w:pStyle w:val="Heading2"/>
      </w:pPr>
      <w:r>
        <w:t xml:space="preserve">6. Chargeback Processing</w:t>
      </w:r>
    </w:p>
    <w:bookmarkStart w:id="41" w:name="ccd-6.1-reason-code-selection"/>
    <w:p>
      <w:pPr>
        <w:pStyle w:val="Heading3"/>
      </w:pPr>
      <w:r>
        <w:t xml:space="preserve">CCD-6.1 — Reason Code Selection</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Claims proceeding to chargeback</w:t>
      </w:r>
      <w:r>
        <w:br/>
      </w:r>
      <w:r>
        <w:rPr>
          <w:bCs/>
          <w:b/>
        </w:rPr>
        <w:t xml:space="preserve">Source type:</w:t>
      </w:r>
      <w:r>
        <w:t xml:space="preserve"> </w:t>
      </w:r>
      <w:r>
        <w:t xml:space="preserve">internal_policy incorporating network rules</w:t>
      </w:r>
      <w:r>
        <w:br/>
      </w:r>
      <w:r>
        <w:rPr>
          <w:bCs/>
          <w:b/>
        </w:rPr>
        <w:t xml:space="preserve">Cross-references:</w:t>
      </w:r>
      <w:r>
        <w:t xml:space="preserve"> </w:t>
      </w:r>
      <w:r>
        <w:t xml:space="preserve">CCD-3.2, CCD-6.2</w:t>
      </w:r>
    </w:p>
    <w:p>
      <w:pPr>
        <w:pStyle w:val="BodyText"/>
      </w:pPr>
      <w:r>
        <w:t xml:space="preserve">The adjudicator must select the network reason code that most specifically matches the documented facts. Where more than one code could apply, the more specific code governs. Selection of a general fraud code where a specific merchandise code applies materially weakens the bank’s position on representment and is a documented quality defect.</w:t>
      </w:r>
    </w:p>
    <w:p>
      <w:pPr>
        <w:pStyle w:val="BodyText"/>
      </w:pPr>
      <w:r>
        <w:t xml:space="preserve">Reason code selection must be recorded in the claim file with the supporting fact for that selection.</w:t>
      </w:r>
    </w:p>
    <w:bookmarkEnd w:id="41"/>
    <w:bookmarkStart w:id="42" w:name="ccd-6.2-representment-handling"/>
    <w:p>
      <w:pPr>
        <w:pStyle w:val="Heading3"/>
      </w:pPr>
      <w:r>
        <w:t xml:space="preserve">CCD-6.2 — Representment Handling</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Chargebacks contested by the merchant</w:t>
      </w:r>
      <w:r>
        <w:br/>
      </w:r>
      <w:r>
        <w:rPr>
          <w:bCs/>
          <w:b/>
        </w:rPr>
        <w:t xml:space="preserve">Cross-references:</w:t>
      </w:r>
      <w:r>
        <w:t xml:space="preserve"> </w:t>
      </w:r>
      <w:r>
        <w:t xml:space="preserve">CCD-5.2, CCD-6.3</w:t>
      </w:r>
    </w:p>
    <w:p>
      <w:pPr>
        <w:pStyle w:val="BodyText"/>
      </w:pPr>
      <w:r>
        <w:t xml:space="preserve">Where a merchant represents a chargeback with compelling evidence, the adjudicator must evaluate that evidence against the cardholder’s original assertion and any supplemental evidence obtained. Representment does not automatically resolve the claim against the cardholder.</w:t>
      </w:r>
    </w:p>
    <w:p>
      <w:pPr>
        <w:pStyle w:val="BodyText"/>
      </w:pPr>
      <w:r>
        <w:t xml:space="preserve">Where the merchant’s evidence directly contradicts a material assertion by the cardholder, the adjudicator must contact the cardholder for response before determining the claim, except where the account is under first-party fraud review under FRD-3.3.</w:t>
      </w:r>
    </w:p>
    <w:bookmarkEnd w:id="42"/>
    <w:bookmarkStart w:id="43" w:name="ccd-6.3-pre-arbitration"/>
    <w:p>
      <w:pPr>
        <w:pStyle w:val="Heading3"/>
      </w:pPr>
      <w:r>
        <w:t xml:space="preserve">CCD-6.3 — Pre-Arbitration</w:t>
      </w:r>
    </w:p>
    <w:p>
      <w:pPr>
        <w:pStyle w:val="FirstParagraph"/>
      </w:pPr>
      <w:r>
        <w:rPr>
          <w:bCs/>
          <w:b/>
        </w:rPr>
        <w:t xml:space="preserve">Effective:</w:t>
      </w:r>
      <w:r>
        <w:t xml:space="preserve"> </w:t>
      </w:r>
      <w:r>
        <w:t xml:space="preserve">2024-01-01 → present</w:t>
      </w:r>
      <w:r>
        <w:br/>
      </w:r>
      <w:r>
        <w:rPr>
          <w:bCs/>
          <w:b/>
        </w:rPr>
        <w:t xml:space="preserve">Applies to:</w:t>
      </w:r>
      <w:r>
        <w:t xml:space="preserve"> </w:t>
      </w:r>
      <w:r>
        <w:t xml:space="preserve">Disputes not resolved at representment</w:t>
      </w:r>
      <w:r>
        <w:br/>
      </w:r>
      <w:r>
        <w:rPr>
          <w:bCs/>
          <w:b/>
        </w:rPr>
        <w:t xml:space="preserve">Cross-references:</w:t>
      </w:r>
      <w:r>
        <w:t xml:space="preserve"> </w:t>
      </w:r>
      <w:r>
        <w:t xml:space="preserve">CCD-6.2, FRD-6.2</w:t>
      </w:r>
    </w:p>
    <w:p>
      <w:pPr>
        <w:pStyle w:val="BodyText"/>
      </w:pPr>
      <w:r>
        <w:t xml:space="preserve">Pre-arbitration may be initiated only where the disputed amount exceeds</w:t>
      </w:r>
      <w:r>
        <w:t xml:space="preserve"> </w:t>
      </w:r>
      <w:r>
        <w:rPr>
          <w:bCs/>
          <w:b/>
        </w:rPr>
        <w:t xml:space="preserve">$500</w:t>
      </w:r>
      <w:r>
        <w:t xml:space="preserve"> </w:t>
      </w:r>
      <w:r>
        <w:t xml:space="preserve">and the documented evidence supports the cardholder’s position. Initiation requires dual approval under FRD-6.2. The cost of arbitration relative to the disputed amount must be recorded in the approval.</w:t>
      </w:r>
    </w:p>
    <w:p>
      <w:r>
        <w:pict>
          <v:rect style="width:0;height:1.5pt" o:hralign="center" o:hrstd="t" o:hr="t"/>
        </w:pict>
      </w:r>
    </w:p>
    <w:bookmarkEnd w:id="43"/>
    <w:bookmarkEnd w:id="44"/>
    <w:bookmarkStart w:id="47" w:name="determinations-and-notices"/>
    <w:p>
      <w:pPr>
        <w:pStyle w:val="Heading2"/>
      </w:pPr>
      <w:r>
        <w:t xml:space="preserve">7. Determinations and Notices</w:t>
      </w:r>
    </w:p>
    <w:bookmarkStart w:id="45" w:name="ccd-7.1-grounds-for-denial"/>
    <w:p>
      <w:pPr>
        <w:pStyle w:val="Heading3"/>
      </w:pPr>
      <w:r>
        <w:t xml:space="preserve">CCD-7.1 — Grounds for Denial</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credit card dispute claims</w:t>
      </w:r>
      <w:r>
        <w:br/>
      </w:r>
      <w:r>
        <w:rPr>
          <w:bCs/>
          <w:b/>
        </w:rPr>
        <w:t xml:space="preserve">Cross-references:</w:t>
      </w:r>
      <w:r>
        <w:t xml:space="preserve"> </w:t>
      </w:r>
      <w:r>
        <w:t xml:space="preserve">CCD-2.1, CCD-2.3, CCD-7.2, DBD-7.1</w:t>
      </w:r>
    </w:p>
    <w:p>
      <w:pPr>
        <w:pStyle w:val="BodyText"/>
      </w:pPr>
      <w:r>
        <w:t xml:space="preserve">A claim must be denied where any of the following is established on documented evidence:</w:t>
      </w:r>
    </w:p>
    <w:p>
      <w:pPr>
        <w:numPr>
          <w:ilvl w:val="0"/>
          <w:numId w:val="1002"/>
        </w:numPr>
        <w:pStyle w:val="Compact"/>
      </w:pPr>
      <w:r>
        <w:t xml:space="preserve">The claim was received outside the applicable filing window and no exception under CCD-2.3 applies;</w:t>
      </w:r>
    </w:p>
    <w:p>
      <w:pPr>
        <w:numPr>
          <w:ilvl w:val="0"/>
          <w:numId w:val="1002"/>
        </w:numPr>
        <w:pStyle w:val="Compact"/>
      </w:pPr>
      <w:r>
        <w:t xml:space="preserve">The transaction was authorized by the cardholder or by an authorized user under CCD-9.2;</w:t>
      </w:r>
    </w:p>
    <w:p>
      <w:pPr>
        <w:numPr>
          <w:ilvl w:val="0"/>
          <w:numId w:val="1002"/>
        </w:numPr>
        <w:pStyle w:val="Compact"/>
      </w:pPr>
      <w:r>
        <w:t xml:space="preserve">The cardholder received the goods or services as agreed;</w:t>
      </w:r>
    </w:p>
    <w:p>
      <w:pPr>
        <w:numPr>
          <w:ilvl w:val="0"/>
          <w:numId w:val="1002"/>
        </w:numPr>
        <w:pStyle w:val="Compact"/>
      </w:pPr>
      <w:r>
        <w:t xml:space="preserve">The cardholder has been made whole by the merchant or another party;</w:t>
      </w:r>
    </w:p>
    <w:p>
      <w:pPr>
        <w:numPr>
          <w:ilvl w:val="0"/>
          <w:numId w:val="1002"/>
        </w:numPr>
        <w:pStyle w:val="Compact"/>
      </w:pPr>
      <w:r>
        <w:t xml:space="preserve">The claim is a duplicate of a previously adjudicated claim on the same transaction.</w:t>
      </w:r>
    </w:p>
    <w:p>
      <w:pPr>
        <w:pStyle w:val="FirstParagraph"/>
      </w:pPr>
      <w:r>
        <w:t xml:space="preserve">A denial may not rest on the absence of evidence supporting the cardholder. It must rest on affirmative evidence supporting one of the grounds above.</w:t>
      </w:r>
    </w:p>
    <w:bookmarkEnd w:id="45"/>
    <w:bookmarkStart w:id="46" w:name="ccd-7.2-adverse-determination-notice"/>
    <w:p>
      <w:pPr>
        <w:pStyle w:val="Heading3"/>
      </w:pPr>
      <w:r>
        <w:t xml:space="preserve">CCD-7.2 — Adverse Determination Notice</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All denied claims</w:t>
      </w:r>
      <w:r>
        <w:br/>
      </w:r>
      <w:r>
        <w:rPr>
          <w:bCs/>
          <w:b/>
        </w:rPr>
        <w:t xml:space="preserve">Regulatory basis:</w:t>
      </w:r>
      <w:r>
        <w:t xml:space="preserve"> </w:t>
      </w:r>
      <w:r>
        <w:t xml:space="preserve">Regulation Z §1026.13(f)</w:t>
      </w:r>
      <w:r>
        <w:br/>
      </w:r>
      <w:r>
        <w:rPr>
          <w:bCs/>
          <w:b/>
        </w:rPr>
        <w:t xml:space="preserve">Cross-references:</w:t>
      </w:r>
      <w:r>
        <w:t xml:space="preserve"> </w:t>
      </w:r>
      <w:r>
        <w:t xml:space="preserve">CCD-4.3, CCD-7.1, FRD-7.2</w:t>
      </w:r>
    </w:p>
    <w:p>
      <w:pPr>
        <w:pStyle w:val="BodyText"/>
      </w:pPr>
      <w:r>
        <w:t xml:space="preserve">A written notice of an adverse determination must state the specific reason for the determination and identify the specific policy provision or regulation relied upon. A notice reciting only a general conclusion does not satisfy this provision.</w:t>
      </w:r>
    </w:p>
    <w:p>
      <w:pPr>
        <w:pStyle w:val="BodyText"/>
      </w:pPr>
      <w:r>
        <w:t xml:space="preserve">The notice must also inform the cardholder of the right to request the documents relied upon, and of the right to appeal within</w:t>
      </w:r>
      <w:r>
        <w:t xml:space="preserve"> </w:t>
      </w:r>
      <w:r>
        <w:rPr>
          <w:bCs/>
          <w:b/>
        </w:rPr>
        <w:t xml:space="preserve">30 calendar days</w:t>
      </w:r>
      <w:r>
        <w:t xml:space="preserve">. Provisional credit may not be reversed before the period at CCD-4.3 has run.</w:t>
      </w:r>
    </w:p>
    <w:p>
      <w:r>
        <w:pict>
          <v:rect style="width:0;height:1.5pt" o:hralign="center" o:hrstd="t" o:hr="t"/>
        </w:pict>
      </w:r>
    </w:p>
    <w:bookmarkEnd w:id="46"/>
    <w:bookmarkEnd w:id="47"/>
    <w:bookmarkStart w:id="50" w:name="special-transaction-types"/>
    <w:p>
      <w:pPr>
        <w:pStyle w:val="Heading2"/>
      </w:pPr>
      <w:r>
        <w:t xml:space="preserve">8. Special Transaction Types</w:t>
      </w:r>
    </w:p>
    <w:bookmarkStart w:id="48" w:name="ccd-8.1-recurring-transaction-disputes"/>
    <w:p>
      <w:pPr>
        <w:pStyle w:val="Heading3"/>
      </w:pPr>
      <w:r>
        <w:t xml:space="preserve">CCD-8.1 — Recurring Transaction Disputes</w:t>
      </w:r>
    </w:p>
    <w:p>
      <w:pPr>
        <w:pStyle w:val="FirstParagraph"/>
      </w:pPr>
      <w:r>
        <w:rPr>
          <w:bCs/>
          <w:b/>
        </w:rPr>
        <w:t xml:space="preserve">Effective:</w:t>
      </w:r>
      <w:r>
        <w:t xml:space="preserve"> </w:t>
      </w:r>
      <w:r>
        <w:t xml:space="preserve">2024-04-01 → present</w:t>
      </w:r>
      <w:r>
        <w:br/>
      </w:r>
      <w:r>
        <w:rPr>
          <w:bCs/>
          <w:b/>
        </w:rPr>
        <w:t xml:space="preserve">Applies to:</w:t>
      </w:r>
      <w:r>
        <w:t xml:space="preserve"> </w:t>
      </w:r>
      <w:r>
        <w:t xml:space="preserve">Disputes of recurring or subscription billing on credit card accounts</w:t>
      </w:r>
      <w:r>
        <w:br/>
      </w:r>
      <w:r>
        <w:rPr>
          <w:bCs/>
          <w:b/>
        </w:rPr>
        <w:t xml:space="preserve">Cross-references:</w:t>
      </w:r>
      <w:r>
        <w:t xml:space="preserve"> </w:t>
      </w:r>
      <w:r>
        <w:t xml:space="preserve">CCD-3.2, ACH-8.1</w:t>
      </w:r>
    </w:p>
    <w:p>
      <w:pPr>
        <w:pStyle w:val="BodyText"/>
      </w:pPr>
      <w:r>
        <w:t xml:space="preserve">Where a cardholder disputes a recurring charge on the ground that authorization was revoked, the claim file must record the date and method of revocation and any merchant acknowledgment. Charges posted</w:t>
      </w:r>
      <w:r>
        <w:t xml:space="preserve"> </w:t>
      </w:r>
      <w:r>
        <w:rPr>
          <w:bCs/>
          <w:b/>
        </w:rPr>
        <w:t xml:space="preserve">before</w:t>
      </w:r>
      <w:r>
        <w:t xml:space="preserve"> </w:t>
      </w:r>
      <w:r>
        <w:t xml:space="preserve">the documented revocation date are not disputable on that ground.</w:t>
      </w:r>
    </w:p>
    <w:p>
      <w:pPr>
        <w:pStyle w:val="BodyText"/>
      </w:pPr>
      <w:r>
        <w:t xml:space="preserve">Where the cardholder cannot document the revocation date, the adjudicator applies the date the cardholder first notified the bank as the effective revocation date, and disputes only charges posted after that date.</w:t>
      </w:r>
    </w:p>
    <w:bookmarkEnd w:id="48"/>
    <w:bookmarkStart w:id="49" w:name="X603df1134aa41b634f5f374746638a3e0c25d29"/>
    <w:p>
      <w:pPr>
        <w:pStyle w:val="Heading3"/>
      </w:pPr>
      <w:r>
        <w:t xml:space="preserve">CCD-8.2 — Digital Wallet and Tokenized Transaction Disputes</w:t>
      </w:r>
    </w:p>
    <w:p>
      <w:pPr>
        <w:pStyle w:val="FirstParagraph"/>
      </w:pPr>
      <w:r>
        <w:rPr>
          <w:bCs/>
          <w:b/>
        </w:rPr>
        <w:t xml:space="preserve">Effective:</w:t>
      </w:r>
      <w:r>
        <w:t xml:space="preserve"> </w:t>
      </w:r>
      <w:r>
        <w:t xml:space="preserve">2025-03-01 → present</w:t>
      </w:r>
      <w:r>
        <w:br/>
      </w:r>
      <w:r>
        <w:rPr>
          <w:bCs/>
          <w:b/>
        </w:rPr>
        <w:t xml:space="preserve">Applies to:</w:t>
      </w:r>
      <w:r>
        <w:t xml:space="preserve"> </w:t>
      </w:r>
      <w:r>
        <w:t xml:space="preserve">Transactions initiated through a tokenized credential</w:t>
      </w:r>
      <w:r>
        <w:br/>
      </w:r>
      <w:r>
        <w:rPr>
          <w:bCs/>
          <w:b/>
        </w:rPr>
        <w:t xml:space="preserve">Cross-references:</w:t>
      </w:r>
      <w:r>
        <w:t xml:space="preserve"> </w:t>
      </w:r>
      <w:r>
        <w:t xml:space="preserve">CCD-2.2, FRD-4.2</w:t>
      </w:r>
    </w:p>
    <w:p>
      <w:pPr>
        <w:pStyle w:val="BodyText"/>
      </w:pPr>
      <w:r>
        <w:t xml:space="preserve">For transactions initiated through a digital wallet, the adjudicator must obtain the token provisioning record, including the provisioning date, the device identifier, and the verification method used at provisioning.</w:t>
      </w:r>
    </w:p>
    <w:p>
      <w:pPr>
        <w:pStyle w:val="BodyText"/>
      </w:pPr>
      <w:r>
        <w:t xml:space="preserve">Where provisioning occurred on a device the cardholder does not recognize, and provisioning verification used a one-time passcode delivered to a phone number changed within</w:t>
      </w:r>
      <w:r>
        <w:t xml:space="preserve"> </w:t>
      </w:r>
      <w:r>
        <w:rPr>
          <w:bCs/>
          <w:b/>
        </w:rPr>
        <w:t xml:space="preserve">30 days</w:t>
      </w:r>
      <w:r>
        <w:t xml:space="preserve"> </w:t>
      </w:r>
      <w:r>
        <w:t xml:space="preserve">before provisioning, the claim is presumptively an account takeover and must be routed under FRD-4.2 rather than adjudicated as an ordinary dispute.</w:t>
      </w:r>
    </w:p>
    <w:p>
      <w:r>
        <w:pict>
          <v:rect style="width:0;height:1.5pt" o:hralign="center" o:hrstd="t" o:hr="t"/>
        </w:pict>
      </w:r>
    </w:p>
    <w:bookmarkEnd w:id="49"/>
    <w:bookmarkEnd w:id="50"/>
    <w:bookmarkStart w:id="53" w:name="exclusions-and-liability"/>
    <w:p>
      <w:pPr>
        <w:pStyle w:val="Heading2"/>
      </w:pPr>
      <w:r>
        <w:t xml:space="preserve">9. Exclusions and Liability</w:t>
      </w:r>
    </w:p>
    <w:bookmarkStart w:id="51" w:name="Xbcba4bbb6f07883d61efe735a11049a16be25b0"/>
    <w:p>
      <w:pPr>
        <w:pStyle w:val="Heading3"/>
      </w:pPr>
      <w:r>
        <w:t xml:space="preserve">CCD-9.1 — Commercial and Business Card Exclusion</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Commercial, corporate, purchasing, and small business card accounts</w:t>
      </w:r>
      <w:r>
        <w:br/>
      </w:r>
      <w:r>
        <w:rPr>
          <w:bCs/>
          <w:b/>
        </w:rPr>
        <w:t xml:space="preserve">Cross-references:</w:t>
      </w:r>
      <w:r>
        <w:t xml:space="preserve"> </w:t>
      </w:r>
      <w:r>
        <w:t xml:space="preserve">CCD-1.1, DBD-9.1</w:t>
      </w:r>
    </w:p>
    <w:p>
      <w:pPr>
        <w:pStyle w:val="BodyText"/>
      </w:pPr>
      <w:r>
        <w:t xml:space="preserve">The consumer protections in this policy, including the filing windows in Section 2 and the provisional credit provisions in Section 4, do not apply to commercial, corporate, purchasing, or small business card accounts. Claims on those accounts are governed by the applicable card agreement and network rules.</w:t>
      </w:r>
    </w:p>
    <w:p>
      <w:pPr>
        <w:pStyle w:val="BodyText"/>
      </w:pPr>
      <w:r>
        <w:t xml:space="preserve">Where an account’s classification is ambiguous, the adjudicator must resolve the classification before applying any filing rule, and must record the basis for the classification in the claim file.</w:t>
      </w:r>
    </w:p>
    <w:bookmarkEnd w:id="51"/>
    <w:bookmarkStart w:id="52" w:name="ccd-9.2-authorized-user-liability"/>
    <w:p>
      <w:pPr>
        <w:pStyle w:val="Heading3"/>
      </w:pPr>
      <w:r>
        <w:t xml:space="preserve">CCD-9.2 — Authorized User Liability</w:t>
      </w:r>
    </w:p>
    <w:p>
      <w:pPr>
        <w:pStyle w:val="FirstParagraph"/>
      </w:pPr>
      <w:r>
        <w:rPr>
          <w:bCs/>
          <w:b/>
        </w:rPr>
        <w:t xml:space="preserve">Effective:</w:t>
      </w:r>
      <w:r>
        <w:t xml:space="preserve"> </w:t>
      </w:r>
      <w:r>
        <w:t xml:space="preserve">2023-01-01 → present</w:t>
      </w:r>
      <w:r>
        <w:br/>
      </w:r>
      <w:r>
        <w:rPr>
          <w:bCs/>
          <w:b/>
        </w:rPr>
        <w:t xml:space="preserve">Applies to:</w:t>
      </w:r>
      <w:r>
        <w:t xml:space="preserve"> </w:t>
      </w:r>
      <w:r>
        <w:t xml:space="preserve">Claims asserting unauthorized use by a person known to the cardholder</w:t>
      </w:r>
      <w:r>
        <w:br/>
      </w:r>
      <w:r>
        <w:rPr>
          <w:bCs/>
          <w:b/>
        </w:rPr>
        <w:t xml:space="preserve">Cross-references:</w:t>
      </w:r>
      <w:r>
        <w:t xml:space="preserve"> </w:t>
      </w:r>
      <w:r>
        <w:t xml:space="preserve">CCD-2.2, CCD-7.1, FRD-3.3</w:t>
      </w:r>
    </w:p>
    <w:p>
      <w:pPr>
        <w:pStyle w:val="BodyText"/>
      </w:pPr>
      <w:r>
        <w:t xml:space="preserve">A transaction initiated by a person the cardholder permitted to use the account is authorized, and is not disputable as unauthorized use, even where that person exceeded the scope of permission the cardholder intended.</w:t>
      </w:r>
    </w:p>
    <w:p>
      <w:pPr>
        <w:pStyle w:val="BodyText"/>
      </w:pPr>
      <w:r>
        <w:t xml:space="preserve">Where the cardholder asserts that permission was withdrawn, transactions posted after the cardholder notified the bank of the withdrawal are treated as unauthorized. Transactions posted before that notice are not.</w:t>
      </w:r>
    </w:p>
    <w:p>
      <w:pPr>
        <w:pStyle w:val="BodyText"/>
      </w:pPr>
      <w:r>
        <w:t xml:space="preserve">Claims asserting unauthorized use by a household member, relative, or cohabitant must be reviewed under FRD-3.3 before determination.</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2026-08-16T22:47:43Z</dcterms:created>
  <dcterms:modified xsi:type="dcterms:W3CDTF">2026-08-16T22:47:43Z</dcterms:modified>
</cp:coreProperties>
</file>

<file path=docProps/custom.xml><?xml version="1.0" encoding="utf-8"?>
<Properties xmlns="http://schemas.openxmlformats.org/officeDocument/2006/custom-properties" xmlns:vt="http://schemas.openxmlformats.org/officeDocument/2006/docPropsVTypes"/>
</file>