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0dc94dc9a48eaee9f1a1fb6ea9e317872c06b15"/>
    <w:p>
      <w:pPr>
        <w:pStyle w:val="Heading1"/>
      </w:pPr>
      <w:r>
        <w:t xml:space="preserve">Meridian Trust Bank — Debit Card Dispute &amp; Fraud Claims Policy</w:t>
      </w:r>
    </w:p>
    <w:p>
      <w:pPr>
        <w:pStyle w:val="FirstParagraph"/>
      </w:pPr>
      <w:r>
        <w:rPr>
          <w:bCs/>
          <w:b/>
        </w:rPr>
        <w:t xml:space="preserve">Document ID:</w:t>
      </w:r>
      <w:r>
        <w:t xml:space="preserve"> </w:t>
      </w:r>
      <w:r>
        <w:t xml:space="preserve">DBD</w:t>
      </w:r>
      <w:r>
        <w:t xml:space="preserve"> </w:t>
      </w:r>
      <w:r>
        <w:rPr>
          <w:bCs/>
          <w:b/>
        </w:rPr>
        <w:t xml:space="preserve">Document Title:</w:t>
      </w:r>
      <w:r>
        <w:t xml:space="preserve"> </w:t>
      </w:r>
      <w:r>
        <w:t xml:space="preserve">Debit Card and EFT Dispute Adjudication Policy</w:t>
      </w:r>
      <w:r>
        <w:t xml:space="preserve"> </w:t>
      </w:r>
      <w:r>
        <w:rPr>
          <w:bCs/>
          <w:b/>
        </w:rPr>
        <w:t xml:space="preserve">Issuing Body:</w:t>
      </w:r>
      <w:r>
        <w:t xml:space="preserve"> </w:t>
      </w:r>
      <w:r>
        <w:t xml:space="preserve">Disputes &amp; Fraud Operations, Meridian Trust Bank</w:t>
      </w:r>
      <w:r>
        <w:t xml:space="preserve"> </w:t>
      </w:r>
      <w:r>
        <w:rPr>
          <w:bCs/>
          <w:b/>
        </w:rPr>
        <w:t xml:space="preserve">Source Type:</w:t>
      </w:r>
      <w:r>
        <w:t xml:space="preserve"> </w:t>
      </w:r>
      <w:r>
        <w:t xml:space="preserve">internal_policy</w:t>
      </w:r>
      <w:r>
        <w:t xml:space="preserve"> </w:t>
      </w:r>
      <w:r>
        <w:rPr>
          <w:bCs/>
          <w:b/>
        </w:rPr>
        <w:t xml:space="preserve">Corpus Snapshot:</w:t>
      </w:r>
      <w:r>
        <w:t xml:space="preserve"> </w:t>
      </w:r>
      <w:r>
        <w:t xml:space="preserve">2026-07-01</w:t>
      </w:r>
      <w:r>
        <w:t xml:space="preserve"> </w:t>
      </w:r>
      <w:r>
        <w:rPr>
          <w:bCs/>
          <w:b/>
        </w:rPr>
        <w:t xml:space="preserve">Jurisdiction:</w:t>
      </w:r>
      <w:r>
        <w:t xml:space="preserve"> </w:t>
      </w:r>
      <w:r>
        <w:t xml:space="preserve">US (federal); state supplements noted per provision</w:t>
      </w:r>
    </w:p>
    <w:p>
      <w:pPr>
        <w:pStyle w:val="BlockText"/>
      </w:pPr>
      <w:r>
        <w:rPr>
          <w:iCs/>
          <w:i/>
        </w:rPr>
        <w:t xml:space="preserve">This is a synthetic policy document created for academic use. It does not describe any real financial institution and must not be relied upon for any operational purpose.</w:t>
      </w:r>
    </w:p>
    <w:p>
      <w:r>
        <w:pict>
          <v:rect style="width:0;height:1.5pt" o:hralign="center" o:hrstd="t" o:hr="t"/>
        </w:pict>
      </w:r>
    </w:p>
    <w:bookmarkStart w:id="22" w:name="scope-and-definitions"/>
    <w:p>
      <w:pPr>
        <w:pStyle w:val="Heading2"/>
      </w:pPr>
      <w:r>
        <w:t xml:space="preserve">1. Scope and Definitions</w:t>
      </w:r>
    </w:p>
    <w:bookmarkStart w:id="20" w:name="dbd-1.1-scope-of-this-policy"/>
    <w:p>
      <w:pPr>
        <w:pStyle w:val="Heading3"/>
      </w:pPr>
      <w:r>
        <w:t xml:space="preserve">DBD-1.1 — Scope of This Policy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deposit accounts with debit card or ATM card access</w:t>
      </w:r>
      <w:r>
        <w:br/>
      </w:r>
      <w:r>
        <w:rPr>
          <w:bCs/>
          <w:b/>
        </w:rPr>
        <w:t xml:space="preserve">Regulatory basis:</w:t>
      </w:r>
      <w:r>
        <w:t xml:space="preserve"> </w:t>
      </w:r>
      <w:r>
        <w:t xml:space="preserve">Regulation E, 12 CFR Part 1005</w:t>
      </w:r>
      <w:r>
        <w:br/>
      </w:r>
      <w:r>
        <w:rPr>
          <w:bCs/>
          <w:b/>
        </w:rPr>
        <w:t xml:space="preserve">Cross-references:</w:t>
      </w:r>
      <w:r>
        <w:t xml:space="preserve"> </w:t>
      </w:r>
      <w:r>
        <w:t xml:space="preserve">DBD-9.1, CCD-1.1, ZEL-1.1</w:t>
      </w:r>
    </w:p>
    <w:p>
      <w:pPr>
        <w:pStyle w:val="BodyText"/>
      </w:pPr>
      <w:r>
        <w:t xml:space="preserve">This policy governs claims of unauthorized electronic fund transfers and other errors involving consumer debit cards, ATM cards, and point-of-sale transactions drawn on consumer deposit accounts. It does not govern credit card claims (CCD-1.1), person-to-person transfers initiated through the Zelle network (ZEL-1.1), or ACH debits initiated by an originator (ACH-1.1).</w:t>
      </w:r>
    </w:p>
    <w:bookmarkEnd w:id="20"/>
    <w:bookmarkStart w:id="21" w:name="dbd-1.2-definitions"/>
    <w:p>
      <w:pPr>
        <w:pStyle w:val="Heading3"/>
      </w:pPr>
      <w:r>
        <w:t xml:space="preserve">DBD-1.2 — Definitions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provisions of this document</w:t>
      </w:r>
    </w:p>
    <w:p>
      <w:pPr>
        <w:pStyle w:val="BodyText"/>
      </w:pPr>
      <w:r>
        <w:rPr>
          <w:bCs/>
          <w:b/>
        </w:rPr>
        <w:t xml:space="preserve">Unauthorized electronic fund transfer</w:t>
      </w:r>
      <w:r>
        <w:t xml:space="preserve"> </w:t>
      </w:r>
      <w:r>
        <w:t xml:space="preserve">means a transfer from a consumer’s account initiated by a person other than the consumer without actual authority to initiate the transfer, and from which the consumer receives no benefit. It does not include a transfer initiated by a person to whom the consumer furnished the access device, unless the consumer has notified the bank that transfers by that person are no longer authorized.</w:t>
      </w:r>
    </w:p>
    <w:p>
      <w:pPr>
        <w:pStyle w:val="BodyText"/>
      </w:pPr>
      <w:r>
        <w:rPr>
          <w:bCs/>
          <w:b/>
        </w:rPr>
        <w:t xml:space="preserve">Access device</w:t>
      </w:r>
      <w:r>
        <w:t xml:space="preserve"> </w:t>
      </w:r>
      <w:r>
        <w:t xml:space="preserve">means a card, code, or other means of access to a consumer’s account, or any combination thereof, used to initiate electronic fund transfers.</w:t>
      </w:r>
    </w:p>
    <w:p>
      <w:pPr>
        <w:pStyle w:val="BodyText"/>
      </w:pPr>
      <w:r>
        <w:rPr>
          <w:bCs/>
          <w:b/>
        </w:rPr>
        <w:t xml:space="preserve">Business day</w:t>
      </w:r>
      <w:r>
        <w:t xml:space="preserve"> </w:t>
      </w:r>
      <w:r>
        <w:t xml:space="preserve">means any day on which the bank’s offices are open to the public for substantially all business functions. Saturdays, Sundays, and federal holidays are excluded.</w:t>
      </w:r>
    </w:p>
    <w:p>
      <w:pPr>
        <w:pStyle w:val="BodyText"/>
      </w:pPr>
      <w:r>
        <w:rPr>
          <w:bCs/>
          <w:b/>
        </w:rPr>
        <w:t xml:space="preserve">Date of first notice</w:t>
      </w:r>
      <w:r>
        <w:t xml:space="preserve"> </w:t>
      </w:r>
      <w:r>
        <w:t xml:space="preserve">means the date the bank received the consumer’s oral or written assertion, whichever is earlier.</w:t>
      </w:r>
    </w:p>
    <w:p>
      <w:pPr>
        <w:pStyle w:val="BodyText"/>
      </w:pPr>
      <w:r>
        <w:rPr>
          <w:bCs/>
          <w:b/>
        </w:rPr>
        <w:t xml:space="preserve">New account</w:t>
      </w:r>
      <w:r>
        <w:t xml:space="preserve"> </w:t>
      </w:r>
      <w:r>
        <w:t xml:space="preserve">means an account open for</w:t>
      </w:r>
      <w:r>
        <w:t xml:space="preserve"> </w:t>
      </w:r>
      <w:r>
        <w:rPr>
          <w:bCs/>
          <w:b/>
        </w:rPr>
        <w:t xml:space="preserve">30 calendar days or fewer</w:t>
      </w:r>
      <w:r>
        <w:t xml:space="preserve"> </w:t>
      </w:r>
      <w:r>
        <w:t xml:space="preserve">as of the date of the first disputed transaction.</w:t>
      </w:r>
    </w:p>
    <w:p>
      <w:r>
        <w:pict>
          <v:rect style="width:0;height:1.5pt" o:hralign="center" o:hrstd="t" o:hr="t"/>
        </w:pict>
      </w:r>
    </w:p>
    <w:bookmarkEnd w:id="21"/>
    <w:bookmarkEnd w:id="22"/>
    <w:bookmarkStart w:id="29" w:name="notification-windows-and-liability"/>
    <w:p>
      <w:pPr>
        <w:pStyle w:val="Heading2"/>
      </w:pPr>
      <w:r>
        <w:t xml:space="preserve">2. Notification Windows and Liability</w:t>
      </w:r>
    </w:p>
    <w:bookmarkStart w:id="23" w:name="dbd-2.1-standard-notification-window"/>
    <w:p>
      <w:pPr>
        <w:pStyle w:val="Heading3"/>
      </w:pPr>
      <w:r>
        <w:t xml:space="preserve">DBD-2.1 — Standard Notification Window</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consumer debit card error claims</w:t>
      </w:r>
      <w:r>
        <w:br/>
      </w:r>
      <w:r>
        <w:rPr>
          <w:bCs/>
          <w:b/>
        </w:rPr>
        <w:t xml:space="preserve">Regulatory basis:</w:t>
      </w:r>
      <w:r>
        <w:t xml:space="preserve"> </w:t>
      </w:r>
      <w:r>
        <w:t xml:space="preserve">Regulation E §1005.6(b)(3), §1005.11(b)(1)</w:t>
      </w:r>
      <w:r>
        <w:br/>
      </w:r>
      <w:r>
        <w:rPr>
          <w:bCs/>
          <w:b/>
        </w:rPr>
        <w:t xml:space="preserve">Cross-references:</w:t>
      </w:r>
      <w:r>
        <w:t xml:space="preserve"> </w:t>
      </w:r>
      <w:r>
        <w:t xml:space="preserve">DBD-2.2, DBD-2.3, CCD-2.1</w:t>
      </w:r>
    </w:p>
    <w:p>
      <w:pPr>
        <w:pStyle w:val="BodyText"/>
      </w:pPr>
      <w:r>
        <w:t xml:space="preserve">A consumer must notify the bank of an error no later than</w:t>
      </w:r>
      <w:r>
        <w:t xml:space="preserve"> </w:t>
      </w:r>
      <w:r>
        <w:rPr>
          <w:bCs/>
          <w:b/>
        </w:rPr>
        <w:t xml:space="preserve">60 calendar days</w:t>
      </w:r>
      <w:r>
        <w:t xml:space="preserve"> </w:t>
      </w:r>
      <w:r>
        <w:t xml:space="preserve">after the bank transmitted the periodic statement on which the unauthorized transfer or error first appeared.</w:t>
      </w:r>
    </w:p>
    <w:p>
      <w:pPr>
        <w:pStyle w:val="BodyText"/>
      </w:pPr>
      <w:r>
        <w:t xml:space="preserve">Timeliness is measured to the date of first notice. A claim received on day 60 is timely; a claim received on day 61 or later is untimely and governed by DBD-2.3.c.</w:t>
      </w:r>
    </w:p>
    <w:p>
      <w:pPr>
        <w:pStyle w:val="BlockText"/>
      </w:pPr>
      <w:r>
        <w:rPr>
          <w:bCs/>
          <w:b/>
        </w:rPr>
        <w:t xml:space="preserve">Note for adjudicators:</w:t>
      </w:r>
      <w:r>
        <w:t xml:space="preserve"> </w:t>
      </w:r>
      <w:r>
        <w:t xml:space="preserve">the credit card filing window at CCD-2.1 is also 60 days and reads similarly, but the liability consequences of late filing differ materially between the two rails. Confirm the account type before applying either rule.</w:t>
      </w:r>
    </w:p>
    <w:bookmarkEnd w:id="23"/>
    <w:bookmarkStart w:id="24" w:name="X613910480957819b45bf3698c60def1cf7b8720"/>
    <w:p>
      <w:pPr>
        <w:pStyle w:val="Heading3"/>
      </w:pPr>
      <w:r>
        <w:t xml:space="preserve">DBD-2.2 — Extension for Extenuating Circumstances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received after the DBD-2.1 window</w:t>
      </w:r>
      <w:r>
        <w:br/>
      </w:r>
      <w:r>
        <w:rPr>
          <w:bCs/>
          <w:b/>
        </w:rPr>
        <w:t xml:space="preserve">Regulatory basis:</w:t>
      </w:r>
      <w:r>
        <w:t xml:space="preserve"> </w:t>
      </w:r>
      <w:r>
        <w:t xml:space="preserve">Regulation E §1005.6(b)(4)</w:t>
      </w:r>
      <w:r>
        <w:br/>
      </w:r>
      <w:r>
        <w:rPr>
          <w:bCs/>
          <w:b/>
        </w:rPr>
        <w:t xml:space="preserve">Cross-references:</w:t>
      </w:r>
      <w:r>
        <w:t xml:space="preserve"> </w:t>
      </w:r>
      <w:r>
        <w:t xml:space="preserve">DBD-2.1, DBD-2.3.c</w:t>
      </w:r>
    </w:p>
    <w:p>
      <w:pPr>
        <w:pStyle w:val="BodyText"/>
      </w:pPr>
      <w:r>
        <w:t xml:space="preserve">The notification period must be extended to a reasonable period where the consumer’s delay was due to extenuating circumstances, including extended travel, hospitalization, or incapacity.</w:t>
      </w:r>
    </w:p>
    <w:p>
      <w:pPr>
        <w:pStyle w:val="BodyText"/>
      </w:pPr>
      <w:r>
        <w:t xml:space="preserve">A reasonable extension under this provision is presumptively</w:t>
      </w:r>
      <w:r>
        <w:t xml:space="preserve"> </w:t>
      </w:r>
      <w:r>
        <w:rPr>
          <w:bCs/>
          <w:b/>
        </w:rPr>
        <w:t xml:space="preserve">the duration of the circumstance plus 30 calendar days</w:t>
      </w:r>
      <w:r>
        <w:t xml:space="preserve">. Extensions beyond 120 calendar days from the original deadline require supervisory approval under FRD-6.1.</w:t>
      </w:r>
    </w:p>
    <w:p>
      <w:pPr>
        <w:pStyle w:val="BodyText"/>
      </w:pPr>
      <w:r>
        <w:t xml:space="preserve">Documentation of the circumstance is required; a consumer assertion alone is not sufficient.</w:t>
      </w:r>
    </w:p>
    <w:bookmarkEnd w:id="24"/>
    <w:bookmarkStart w:id="28" w:name="dbd-2.3-consumer-liability-tiers"/>
    <w:p>
      <w:pPr>
        <w:pStyle w:val="Heading3"/>
      </w:pPr>
      <w:r>
        <w:t xml:space="preserve">DBD-2.3 — Consumer Liability Tiers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involving a lost or stolen access device</w:t>
      </w:r>
      <w:r>
        <w:br/>
      </w:r>
      <w:r>
        <w:rPr>
          <w:bCs/>
          <w:b/>
        </w:rPr>
        <w:t xml:space="preserve">Regulatory basis:</w:t>
      </w:r>
      <w:r>
        <w:t xml:space="preserve"> </w:t>
      </w:r>
      <w:r>
        <w:t xml:space="preserve">Regulation E §1005.6(b)</w:t>
      </w:r>
      <w:r>
        <w:br/>
      </w:r>
      <w:r>
        <w:rPr>
          <w:bCs/>
          <w:b/>
        </w:rPr>
        <w:t xml:space="preserve">Cross-references:</w:t>
      </w:r>
      <w:r>
        <w:t xml:space="preserve"> </w:t>
      </w:r>
      <w:r>
        <w:t xml:space="preserve">DBD-2.3.a, DBD-2.3.b, DBD-2.3.c</w:t>
      </w:r>
    </w:p>
    <w:p>
      <w:pPr>
        <w:pStyle w:val="BodyText"/>
      </w:pPr>
      <w:r>
        <w:t xml:space="preserve">Consumer liability for unauthorized transfers involving a lost or stolen access device is determined by when the consumer notified the bank of the loss or theft, as set out in the subrules below.</w:t>
      </w:r>
    </w:p>
    <w:p>
      <w:pPr>
        <w:pStyle w:val="BodyText"/>
      </w:pPr>
      <w:r>
        <w:t xml:space="preserve">Meridian Trust waives consumer liability in full for claims falling under DBD-2.3.a and DBD-2.3.b as a matter of policy. The waiver does not extend to DBD-2.3.c.</w:t>
      </w:r>
    </w:p>
    <w:bookmarkStart w:id="25" w:name="X5acad59d5042c65fb7c5366810e1ec599853121"/>
    <w:p>
      <w:pPr>
        <w:pStyle w:val="Heading4"/>
      </w:pPr>
      <w:r>
        <w:t xml:space="preserve">DBD-2.3.a — Notice Within Two Business Days</w:t>
      </w:r>
    </w:p>
    <w:p>
      <w:pPr>
        <w:pStyle w:val="FirstParagraph"/>
      </w:pPr>
      <w:r>
        <w:rPr>
          <w:bCs/>
          <w:b/>
        </w:rPr>
        <w:t xml:space="preserve">Effective:</w:t>
      </w:r>
      <w:r>
        <w:t xml:space="preserve"> </w:t>
      </w:r>
      <w:r>
        <w:t xml:space="preserve">2023-01-01 → present</w:t>
      </w:r>
      <w:r>
        <w:br/>
      </w:r>
      <w:r>
        <w:rPr>
          <w:bCs/>
          <w:b/>
        </w:rPr>
        <w:t xml:space="preserve">Conditions:</w:t>
      </w:r>
      <w:r>
        <w:t xml:space="preserve"> </w:t>
      </w:r>
      <w:r>
        <w:t xml:space="preserve">consumer notified within 2 business days of learning of loss or theft</w:t>
      </w:r>
    </w:p>
    <w:p>
      <w:pPr>
        <w:pStyle w:val="BodyText"/>
      </w:pPr>
      <w:r>
        <w:t xml:space="preserve">Where the consumer notifies the bank within</w:t>
      </w:r>
      <w:r>
        <w:t xml:space="preserve"> </w:t>
      </w:r>
      <w:r>
        <w:rPr>
          <w:bCs/>
          <w:b/>
        </w:rPr>
        <w:t xml:space="preserve">2 business days</w:t>
      </w:r>
      <w:r>
        <w:t xml:space="preserve"> </w:t>
      </w:r>
      <w:r>
        <w:t xml:space="preserve">after learning of the loss or theft of the access device, liability is limited to the lesser of</w:t>
      </w:r>
      <w:r>
        <w:t xml:space="preserve"> </w:t>
      </w:r>
      <w:r>
        <w:rPr>
          <w:bCs/>
          <w:b/>
        </w:rPr>
        <w:t xml:space="preserve">$50</w:t>
      </w:r>
      <w:r>
        <w:t xml:space="preserve"> </w:t>
      </w:r>
      <w:r>
        <w:t xml:space="preserve">or the amount of unauthorized transfers occurring before notice. Meridian Trust waives this amount in full.</w:t>
      </w:r>
    </w:p>
    <w:bookmarkEnd w:id="25"/>
    <w:bookmarkStart w:id="26" w:name="dbd-2.3.b-notice-after-two-business-days"/>
    <w:p>
      <w:pPr>
        <w:pStyle w:val="Heading4"/>
      </w:pPr>
      <w:r>
        <w:t xml:space="preserve">DBD-2.3.b — Notice After Two Business Days</w:t>
      </w:r>
    </w:p>
    <w:p>
      <w:pPr>
        <w:pStyle w:val="FirstParagraph"/>
      </w:pPr>
      <w:r>
        <w:rPr>
          <w:bCs/>
          <w:b/>
        </w:rPr>
        <w:t xml:space="preserve">Effective:</w:t>
      </w:r>
      <w:r>
        <w:t xml:space="preserve"> </w:t>
      </w:r>
      <w:r>
        <w:t xml:space="preserve">2023-01-01 → present</w:t>
      </w:r>
      <w:r>
        <w:br/>
      </w:r>
      <w:r>
        <w:rPr>
          <w:bCs/>
          <w:b/>
        </w:rPr>
        <w:t xml:space="preserve">Conditions:</w:t>
      </w:r>
      <w:r>
        <w:t xml:space="preserve"> </w:t>
      </w:r>
      <w:r>
        <w:t xml:space="preserve">consumer notified more than 2 business days after learning of loss or theft, but within 60 days of statement transmission</w:t>
      </w:r>
    </w:p>
    <w:p>
      <w:pPr>
        <w:pStyle w:val="BodyText"/>
      </w:pPr>
      <w:r>
        <w:t xml:space="preserve">Where the consumer fails to notify within 2 business days, liability may extend to the lesser of</w:t>
      </w:r>
      <w:r>
        <w:t xml:space="preserve"> </w:t>
      </w:r>
      <w:r>
        <w:rPr>
          <w:bCs/>
          <w:b/>
        </w:rPr>
        <w:t xml:space="preserve">$500</w:t>
      </w:r>
      <w:r>
        <w:t xml:space="preserve"> </w:t>
      </w:r>
      <w:r>
        <w:t xml:space="preserve">or the sum of $50 plus the amount of unauthorized transfers occurring after the close of the 2-business-day period and before notice. Meridian Trust waives this amount in full.</w:t>
      </w:r>
    </w:p>
    <w:p>
      <w:pPr>
        <w:pStyle w:val="BodyText"/>
      </w:pPr>
      <w:r>
        <w:t xml:space="preserve">The bank bears the burden of establishing that the additional transfers would not have occurred had timely notice been given. Where that burden is not met on documented evidence, the reduced liability at DBD-2.3.a applies.</w:t>
      </w:r>
    </w:p>
    <w:bookmarkEnd w:id="26"/>
    <w:bookmarkStart w:id="27" w:name="dbd-2.3.c-notice-after-sixty-days"/>
    <w:p>
      <w:pPr>
        <w:pStyle w:val="Heading4"/>
      </w:pPr>
      <w:r>
        <w:t xml:space="preserve">DBD-2.3.c — Notice After Sixty Days</w:t>
      </w:r>
    </w:p>
    <w:p>
      <w:pPr>
        <w:pStyle w:val="FirstParagraph"/>
      </w:pPr>
      <w:r>
        <w:rPr>
          <w:bCs/>
          <w:b/>
        </w:rPr>
        <w:t xml:space="preserve">Effective:</w:t>
      </w:r>
      <w:r>
        <w:t xml:space="preserve"> </w:t>
      </w:r>
      <w:r>
        <w:t xml:space="preserve">2023-01-01 → present</w:t>
      </w:r>
      <w:r>
        <w:br/>
      </w:r>
      <w:r>
        <w:rPr>
          <w:bCs/>
          <w:b/>
        </w:rPr>
        <w:t xml:space="preserve">Conditions:</w:t>
      </w:r>
      <w:r>
        <w:t xml:space="preserve"> </w:t>
      </w:r>
      <w:r>
        <w:t xml:space="preserve">unauthorized transfers appearing on a periodic statement more than 60 days before notice</w:t>
      </w:r>
      <w:r>
        <w:br/>
      </w:r>
      <w:r>
        <w:rPr>
          <w:bCs/>
          <w:b/>
        </w:rPr>
        <w:t xml:space="preserve">Cross-references:</w:t>
      </w:r>
      <w:r>
        <w:t xml:space="preserve"> </w:t>
      </w:r>
      <w:r>
        <w:t xml:space="preserve">DBD-2.2</w:t>
      </w:r>
    </w:p>
    <w:p>
      <w:pPr>
        <w:pStyle w:val="BodyText"/>
      </w:pPr>
      <w:r>
        <w:t xml:space="preserve">Where unauthorized transfers appear on a periodic statement and the consumer does not notify the bank within 60 calendar days of transmission, the consumer may bear unlimited liability for transfers occurring after the close of the 60-day period and before notice.</w:t>
      </w:r>
    </w:p>
    <w:p>
      <w:pPr>
        <w:pStyle w:val="BodyText"/>
      </w:pPr>
      <w:r>
        <w:t xml:space="preserve">This provision does not apply where an extension has been granted under DBD-2.2. It does not affect liability for transfers occurring within the 60-day window, which remains governed by DBD-2.3.a or DBD-2.3.b.</w:t>
      </w:r>
    </w:p>
    <w:p>
      <w:r>
        <w:pict>
          <v:rect style="width:0;height:1.5pt" o:hralign="center" o:hrstd="t" o:hr="t"/>
        </w:pict>
      </w:r>
    </w:p>
    <w:bookmarkEnd w:id="27"/>
    <w:bookmarkEnd w:id="28"/>
    <w:bookmarkEnd w:id="29"/>
    <w:bookmarkStart w:id="32" w:name="documentation"/>
    <w:p>
      <w:pPr>
        <w:pStyle w:val="Heading2"/>
      </w:pPr>
      <w:r>
        <w:t xml:space="preserve">3. Documentation</w:t>
      </w:r>
    </w:p>
    <w:bookmarkStart w:id="30" w:name="dbd-3.1-required-claim-documentation"/>
    <w:p>
      <w:pPr>
        <w:pStyle w:val="Heading3"/>
      </w:pPr>
      <w:r>
        <w:t xml:space="preserve">DBD-3.1 — Required Claim Documentation</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All debit card dispute claims</w:t>
      </w:r>
      <w:r>
        <w:br/>
      </w:r>
      <w:r>
        <w:rPr>
          <w:bCs/>
          <w:b/>
        </w:rPr>
        <w:t xml:space="preserve">Cross-references:</w:t>
      </w:r>
      <w:r>
        <w:t xml:space="preserve"> </w:t>
      </w:r>
      <w:r>
        <w:t xml:space="preserve">DBD-3.2, FRD-7.1</w:t>
      </w:r>
    </w:p>
    <w:p>
      <w:pPr>
        <w:pStyle w:val="BodyText"/>
      </w:pPr>
      <w:r>
        <w:t xml:space="preserve">The claim file must contain the transaction identifier and posting date, the consumer’s description of the error, the date of first notice, the date the consumer learned of any loss or theft, and the card status history.</w:t>
      </w:r>
    </w:p>
    <w:p>
      <w:pPr>
        <w:pStyle w:val="BodyText"/>
      </w:pPr>
      <w:r>
        <w:t xml:space="preserve">For claims involving a lost or stolen card, the file must record whether the card was reported lost or stolen and on what date, since that date determines which liability tier at DBD-2.3 applies.</w:t>
      </w:r>
    </w:p>
    <w:bookmarkEnd w:id="30"/>
    <w:bookmarkStart w:id="31" w:name="dbd-3.2-written-confirmation"/>
    <w:p>
      <w:pPr>
        <w:pStyle w:val="Heading3"/>
      </w:pPr>
      <w:r>
        <w:t xml:space="preserve">DBD-3.2 — Written Confirmation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initiated orally</w:t>
      </w:r>
      <w:r>
        <w:br/>
      </w:r>
      <w:r>
        <w:rPr>
          <w:bCs/>
          <w:b/>
        </w:rPr>
        <w:t xml:space="preserve">Regulatory basis:</w:t>
      </w:r>
      <w:r>
        <w:t xml:space="preserve"> </w:t>
      </w:r>
      <w:r>
        <w:t xml:space="preserve">Regulation E §1005.11(b)(2)</w:t>
      </w:r>
      <w:r>
        <w:br/>
      </w:r>
      <w:r>
        <w:rPr>
          <w:bCs/>
          <w:b/>
        </w:rPr>
        <w:t xml:space="preserve">Cross-references:</w:t>
      </w:r>
      <w:r>
        <w:t xml:space="preserve"> </w:t>
      </w:r>
      <w:r>
        <w:t xml:space="preserve">DBD-4.2, DBD-5.1</w:t>
      </w:r>
    </w:p>
    <w:p>
      <w:pPr>
        <w:pStyle w:val="BodyText"/>
      </w:pPr>
      <w:r>
        <w:t xml:space="preserve">The bank may require written confirmation of an oral notice within</w:t>
      </w:r>
      <w:r>
        <w:t xml:space="preserve"> </w:t>
      </w:r>
      <w:r>
        <w:rPr>
          <w:bCs/>
          <w:b/>
        </w:rPr>
        <w:t xml:space="preserve">10 business days</w:t>
      </w:r>
      <w:r>
        <w:t xml:space="preserve"> </w:t>
      </w:r>
      <w:r>
        <w:t xml:space="preserve">of the oral notice, provided the consumer was advised of the requirement and given the address at the time of the oral notice.</w:t>
      </w:r>
    </w:p>
    <w:p>
      <w:pPr>
        <w:pStyle w:val="BodyText"/>
      </w:pPr>
      <w:r>
        <w:t xml:space="preserve">The absence of written confirmation is not grounds for denying the claim. It affects only provisional credit obligations under DBD-4.1. The investigation must proceed regardless.</w:t>
      </w:r>
    </w:p>
    <w:p>
      <w:r>
        <w:pict>
          <v:rect style="width:0;height:1.5pt" o:hralign="center" o:hrstd="t" o:hr="t"/>
        </w:pict>
      </w:r>
    </w:p>
    <w:bookmarkEnd w:id="31"/>
    <w:bookmarkEnd w:id="32"/>
    <w:bookmarkStart w:id="38" w:name="provisional-credit"/>
    <w:p>
      <w:pPr>
        <w:pStyle w:val="Heading2"/>
      </w:pPr>
      <w:r>
        <w:t xml:space="preserve">4. Provisional Credit</w:t>
      </w:r>
    </w:p>
    <w:bookmarkStart w:id="33" w:name="dbd-4.1-standard-provisional-credit"/>
    <w:p>
      <w:pPr>
        <w:pStyle w:val="Heading3"/>
      </w:pPr>
      <w:r>
        <w:t xml:space="preserve">DBD-4.1 — Standard Provisional Credit</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where the investigation will exceed 10 business days</w:t>
      </w:r>
      <w:r>
        <w:br/>
      </w:r>
      <w:r>
        <w:rPr>
          <w:bCs/>
          <w:b/>
        </w:rPr>
        <w:t xml:space="preserve">Regulatory basis:</w:t>
      </w:r>
      <w:r>
        <w:t xml:space="preserve"> </w:t>
      </w:r>
      <w:r>
        <w:t xml:space="preserve">Regulation E §1005.11(c)(2)</w:t>
      </w:r>
      <w:r>
        <w:br/>
      </w:r>
      <w:r>
        <w:rPr>
          <w:bCs/>
          <w:b/>
        </w:rPr>
        <w:t xml:space="preserve">Cross-references:</w:t>
      </w:r>
      <w:r>
        <w:t xml:space="preserve"> </w:t>
      </w:r>
      <w:r>
        <w:t xml:space="preserve">DBD-3.2, DBD-4.2, DBD-4.3, DBD-4.4</w:t>
      </w:r>
    </w:p>
    <w:p>
      <w:pPr>
        <w:pStyle w:val="BodyText"/>
      </w:pPr>
      <w:r>
        <w:t xml:space="preserve">Where the bank cannot complete its investigation within</w:t>
      </w:r>
      <w:r>
        <w:t xml:space="preserve"> </w:t>
      </w:r>
      <w:r>
        <w:rPr>
          <w:bCs/>
          <w:b/>
        </w:rPr>
        <w:t xml:space="preserve">10 business days</w:t>
      </w:r>
      <w:r>
        <w:t xml:space="preserve"> </w:t>
      </w:r>
      <w:r>
        <w:t xml:space="preserve">of the date of first notice, it must provisionally credit the consumer’s account for the full disputed amount, including interest where the account bears interest, within that same 10-business-day period.</w:t>
      </w:r>
    </w:p>
    <w:p>
      <w:pPr>
        <w:pStyle w:val="BodyText"/>
      </w:pPr>
      <w:r>
        <w:t xml:space="preserve">The consumer must have full use of the funds during the investigation. Where written confirmation was properly required under DBD-3.2 and not received, the provisional credit obligation does not attach, but the investigation continues.</w:t>
      </w:r>
    </w:p>
    <w:bookmarkEnd w:id="33"/>
    <w:bookmarkStart w:id="34" w:name="dbd-4.2-new-account-exception"/>
    <w:p>
      <w:pPr>
        <w:pStyle w:val="Heading3"/>
      </w:pPr>
      <w:r>
        <w:t xml:space="preserve">DBD-4.2 — New Account Exception</w:t>
      </w:r>
    </w:p>
    <w:p>
      <w:pPr>
        <w:pStyle w:val="FirstParagraph"/>
      </w:pPr>
      <w:r>
        <w:rPr>
          <w:bCs/>
          <w:b/>
        </w:rPr>
        <w:t xml:space="preserve">Effective:</w:t>
      </w:r>
      <w:r>
        <w:t xml:space="preserve"> </w:t>
      </w:r>
      <w:r>
        <w:t xml:space="preserve">2025-07-01 → present</w:t>
      </w:r>
      <w:r>
        <w:br/>
      </w:r>
      <w:r>
        <w:rPr>
          <w:bCs/>
          <w:b/>
        </w:rPr>
        <w:t xml:space="preserve">Supersedes:</w:t>
      </w:r>
      <w:r>
        <w:t xml:space="preserve"> </w:t>
      </w:r>
      <w:r>
        <w:t xml:space="preserve">DBD-4.2-v1</w:t>
      </w:r>
      <w:r>
        <w:br/>
      </w:r>
      <w:r>
        <w:rPr>
          <w:bCs/>
          <w:b/>
        </w:rPr>
        <w:t xml:space="preserve">Applies to:</w:t>
      </w:r>
      <w:r>
        <w:t xml:space="preserve"> </w:t>
      </w:r>
      <w:r>
        <w:t xml:space="preserve">Claims on accounts meeting the DBD-1.2 definition of new account</w:t>
      </w:r>
      <w:r>
        <w:br/>
      </w:r>
      <w:r>
        <w:rPr>
          <w:bCs/>
          <w:b/>
        </w:rPr>
        <w:t xml:space="preserve">Regulatory basis:</w:t>
      </w:r>
      <w:r>
        <w:t xml:space="preserve"> </w:t>
      </w:r>
      <w:r>
        <w:t xml:space="preserve">Regulation E §1005.11(c)(3)</w:t>
      </w:r>
      <w:r>
        <w:br/>
      </w:r>
      <w:r>
        <w:rPr>
          <w:bCs/>
          <w:b/>
        </w:rPr>
        <w:t xml:space="preserve">Cross-references:</w:t>
      </w:r>
      <w:r>
        <w:t xml:space="preserve"> </w:t>
      </w:r>
      <w:r>
        <w:t xml:space="preserve">DBD-1.2, DBD-4.1, DBD-5.2</w:t>
      </w:r>
    </w:p>
    <w:p>
      <w:pPr>
        <w:pStyle w:val="BodyText"/>
      </w:pPr>
      <w:r>
        <w:t xml:space="preserve">For claims involving an account open 30 calendar days or fewer as of the first disputed transaction, the provisional credit deadline is extended to</w:t>
      </w:r>
      <w:r>
        <w:t xml:space="preserve"> </w:t>
      </w:r>
      <w:r>
        <w:rPr>
          <w:bCs/>
          <w:b/>
        </w:rPr>
        <w:t xml:space="preserve">20 business days</w:t>
      </w:r>
      <w:r>
        <w:t xml:space="preserve"> </w:t>
      </w:r>
      <w:r>
        <w:t xml:space="preserve">from the date of first notice, and the investigation period is extended to</w:t>
      </w:r>
      <w:r>
        <w:t xml:space="preserve"> </w:t>
      </w:r>
      <w:r>
        <w:rPr>
          <w:bCs/>
          <w:b/>
        </w:rPr>
        <w:t xml:space="preserve">90 calendar days</w:t>
      </w:r>
      <w:r>
        <w:t xml:space="preserve">.</w:t>
      </w:r>
    </w:p>
    <w:p>
      <w:pPr>
        <w:pStyle w:val="BodyText"/>
      </w:pPr>
      <w:r>
        <w:t xml:space="preserve">The extension applies to the account, not to the individual transaction. Where a claim covers transactions both inside and outside the new account window, the extension applies to the whole claim.</w:t>
      </w:r>
    </w:p>
    <w:bookmarkEnd w:id="34"/>
    <w:bookmarkStart w:id="35" w:name="Xf3c719f570ace9e54a74db01f35d6c7a53b87d8"/>
    <w:p>
      <w:pPr>
        <w:pStyle w:val="Heading3"/>
      </w:pPr>
      <w:r>
        <w:t xml:space="preserve">DBD-4.2-v1 — New Account Exception</w:t>
      </w:r>
      <w:r>
        <w:t xml:space="preserve"> </w:t>
      </w:r>
      <w:r>
        <w:rPr>
          <w:iCs/>
          <w:i/>
        </w:rPr>
        <w:t xml:space="preserve">(superseded)</w:t>
      </w:r>
    </w:p>
    <w:p>
      <w:pPr>
        <w:pStyle w:val="FirstParagraph"/>
      </w:pPr>
      <w:r>
        <w:rPr>
          <w:bCs/>
          <w:b/>
        </w:rPr>
        <w:t xml:space="preserve">Effective:</w:t>
      </w:r>
      <w:r>
        <w:t xml:space="preserve"> </w:t>
      </w:r>
      <w:r>
        <w:t xml:space="preserve">2023-01-01 → 2025-06-30</w:t>
      </w:r>
      <w:r>
        <w:br/>
      </w:r>
      <w:r>
        <w:rPr>
          <w:bCs/>
          <w:b/>
        </w:rPr>
        <w:t xml:space="preserve">Superseded by:</w:t>
      </w:r>
      <w:r>
        <w:t xml:space="preserve"> </w:t>
      </w:r>
      <w:r>
        <w:t xml:space="preserve">DBD-4.2</w:t>
      </w:r>
      <w:r>
        <w:br/>
      </w:r>
      <w:r>
        <w:rPr>
          <w:bCs/>
          <w:b/>
        </w:rPr>
        <w:t xml:space="preserve">Status:</w:t>
      </w:r>
      <w:r>
        <w:t xml:space="preserve"> </w:t>
      </w:r>
      <w:r>
        <w:t xml:space="preserve">SUPERSEDED — applies only to claims whose date of first notice falls on or before 2025-06-30</w:t>
      </w:r>
    </w:p>
    <w:p>
      <w:pPr>
        <w:pStyle w:val="BodyText"/>
      </w:pPr>
      <w:r>
        <w:t xml:space="preserve">For claims involving an account open</w:t>
      </w:r>
      <w:r>
        <w:t xml:space="preserve"> </w:t>
      </w:r>
      <w:r>
        <w:rPr>
          <w:bCs/>
          <w:b/>
        </w:rPr>
        <w:t xml:space="preserve">60 calendar days</w:t>
      </w:r>
      <w:r>
        <w:t xml:space="preserve"> </w:t>
      </w:r>
      <w:r>
        <w:t xml:space="preserve">or fewer as of the first disputed transaction, no provisional credit is required, and the investigation period is extended to</w:t>
      </w:r>
      <w:r>
        <w:t xml:space="preserve"> </w:t>
      </w:r>
      <w:r>
        <w:rPr>
          <w:bCs/>
          <w:b/>
        </w:rPr>
        <w:t xml:space="preserve">90 calendar days</w:t>
      </w:r>
      <w:r>
        <w:t xml:space="preserve">.</w:t>
      </w:r>
    </w:p>
    <w:bookmarkEnd w:id="35"/>
    <w:bookmarkStart w:id="36" w:name="Xab6f739ef18b5679b852278c07022358d81e9d7"/>
    <w:p>
      <w:pPr>
        <w:pStyle w:val="Heading3"/>
      </w:pPr>
      <w:r>
        <w:t xml:space="preserve">DBD-4.3 — Foreign-Initiated and Point-of-Sale Transfers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Transfers initiated outside a state, or resulting from a point-of-sale debit transaction</w:t>
      </w:r>
      <w:r>
        <w:br/>
      </w:r>
      <w:r>
        <w:rPr>
          <w:bCs/>
          <w:b/>
        </w:rPr>
        <w:t xml:space="preserve">Regulatory basis:</w:t>
      </w:r>
      <w:r>
        <w:t xml:space="preserve"> </w:t>
      </w:r>
      <w:r>
        <w:t xml:space="preserve">Regulation E §1005.11(c)(3)</w:t>
      </w:r>
      <w:r>
        <w:br/>
      </w:r>
      <w:r>
        <w:rPr>
          <w:bCs/>
          <w:b/>
        </w:rPr>
        <w:t xml:space="preserve">Cross-references:</w:t>
      </w:r>
      <w:r>
        <w:t xml:space="preserve"> </w:t>
      </w:r>
      <w:r>
        <w:t xml:space="preserve">DBD-4.1, DBD-5.2</w:t>
      </w:r>
    </w:p>
    <w:p>
      <w:pPr>
        <w:pStyle w:val="BodyText"/>
      </w:pPr>
      <w:r>
        <w:t xml:space="preserve">For errors involving a transfer initiated outside a state or resulting from a point-of-sale debit card transaction, the investigation period is extended to</w:t>
      </w:r>
      <w:r>
        <w:t xml:space="preserve"> </w:t>
      </w:r>
      <w:r>
        <w:rPr>
          <w:bCs/>
          <w:b/>
        </w:rPr>
        <w:t xml:space="preserve">90 calendar days</w:t>
      </w:r>
      <w:r>
        <w:t xml:space="preserve">, and the provisional credit deadline is extended to</w:t>
      </w:r>
      <w:r>
        <w:t xml:space="preserve"> </w:t>
      </w:r>
      <w:r>
        <w:rPr>
          <w:bCs/>
          <w:b/>
        </w:rPr>
        <w:t xml:space="preserve">20 business days</w:t>
      </w:r>
      <w:r>
        <w:t xml:space="preserve"> </w:t>
      </w:r>
      <w:r>
        <w:t xml:space="preserve">from the date of first notice.</w:t>
      </w:r>
    </w:p>
    <w:p>
      <w:pPr>
        <w:pStyle w:val="BodyText"/>
      </w:pPr>
      <w:r>
        <w:t xml:space="preserve">Where a claim includes both qualifying and non-qualifying transactions, the shorter timeline governs the non-qualifying transactions. The adjudicator may not apply the extended timeline to the entire claim on the basis that one transaction qualifies.</w:t>
      </w:r>
    </w:p>
    <w:bookmarkEnd w:id="36"/>
    <w:bookmarkStart w:id="37" w:name="dbd-4.4-reversal-of-provisional-credit"/>
    <w:p>
      <w:pPr>
        <w:pStyle w:val="Heading3"/>
      </w:pPr>
      <w:r>
        <w:t xml:space="preserve">DBD-4.4 — Reversal of Provisional Credit</w:t>
      </w:r>
    </w:p>
    <w:p>
      <w:pPr>
        <w:pStyle w:val="FirstParagraph"/>
      </w:pPr>
      <w:r>
        <w:rPr>
          <w:bCs/>
          <w:b/>
        </w:rPr>
        <w:t xml:space="preserve">Effective:</w:t>
      </w:r>
      <w:r>
        <w:t xml:space="preserve"> </w:t>
      </w:r>
      <w:r>
        <w:t xml:space="preserve">2024-02-01 → present</w:t>
      </w:r>
      <w:r>
        <w:br/>
      </w:r>
      <w:r>
        <w:rPr>
          <w:bCs/>
          <w:b/>
        </w:rPr>
        <w:t xml:space="preserve">Applies to:</w:t>
      </w:r>
      <w:r>
        <w:t xml:space="preserve"> </w:t>
      </w:r>
      <w:r>
        <w:t xml:space="preserve">Accounts holding provisional credit under DBD-4.1 or DBD-4.2</w:t>
      </w:r>
      <w:r>
        <w:br/>
      </w:r>
      <w:r>
        <w:rPr>
          <w:bCs/>
          <w:b/>
        </w:rPr>
        <w:t xml:space="preserve">Regulatory basis:</w:t>
      </w:r>
      <w:r>
        <w:t xml:space="preserve"> </w:t>
      </w:r>
      <w:r>
        <w:t xml:space="preserve">Regulation E §1005.11(d)(2)</w:t>
      </w:r>
      <w:r>
        <w:br/>
      </w:r>
      <w:r>
        <w:rPr>
          <w:bCs/>
          <w:b/>
        </w:rPr>
        <w:t xml:space="preserve">Cross-references:</w:t>
      </w:r>
      <w:r>
        <w:t xml:space="preserve"> </w:t>
      </w:r>
      <w:r>
        <w:t xml:space="preserve">DBD-7.2</w:t>
      </w:r>
    </w:p>
    <w:p>
      <w:pPr>
        <w:pStyle w:val="BodyText"/>
      </w:pPr>
      <w:r>
        <w:t xml:space="preserve">Where the investigation determines no error occurred, the bank may reverse provisional credit only after transmitting written notice of the determination and the date of the reversal. The notice must be transmitted at least</w:t>
      </w:r>
      <w:r>
        <w:t xml:space="preserve"> </w:t>
      </w:r>
      <w:r>
        <w:rPr>
          <w:bCs/>
          <w:b/>
        </w:rPr>
        <w:t xml:space="preserve">5 business days</w:t>
      </w:r>
      <w:r>
        <w:t xml:space="preserve"> </w:t>
      </w:r>
      <w:r>
        <w:t xml:space="preserve">before the reversal.</w:t>
      </w:r>
    </w:p>
    <w:p>
      <w:pPr>
        <w:pStyle w:val="BodyText"/>
      </w:pPr>
      <w:r>
        <w:t xml:space="preserve">The bank must honor, without charge, items that would have paid had the provisional credit not been reversed, for a period of</w:t>
      </w:r>
      <w:r>
        <w:t xml:space="preserve"> </w:t>
      </w:r>
      <w:r>
        <w:rPr>
          <w:bCs/>
          <w:b/>
        </w:rPr>
        <w:t xml:space="preserve">5 business days</w:t>
      </w:r>
      <w:r>
        <w:t xml:space="preserve"> </w:t>
      </w:r>
      <w:r>
        <w:t xml:space="preserve">after the reversal date.</w:t>
      </w:r>
    </w:p>
    <w:p>
      <w:r>
        <w:pict>
          <v:rect style="width:0;height:1.5pt" o:hralign="center" o:hrstd="t" o:hr="t"/>
        </w:pict>
      </w:r>
    </w:p>
    <w:bookmarkEnd w:id="37"/>
    <w:bookmarkEnd w:id="38"/>
    <w:bookmarkStart w:id="41" w:name="investigation-timeline"/>
    <w:p>
      <w:pPr>
        <w:pStyle w:val="Heading2"/>
      </w:pPr>
      <w:r>
        <w:t xml:space="preserve">5. Investigation Timeline</w:t>
      </w:r>
    </w:p>
    <w:bookmarkStart w:id="39" w:name="dbd-5.1-standard-investigation-timeline"/>
    <w:p>
      <w:pPr>
        <w:pStyle w:val="Heading3"/>
      </w:pPr>
      <w:r>
        <w:t xml:space="preserve">DBD-5.1 — Standard Investigation Timeline</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consumer debit card error claims</w:t>
      </w:r>
      <w:r>
        <w:br/>
      </w:r>
      <w:r>
        <w:rPr>
          <w:bCs/>
          <w:b/>
        </w:rPr>
        <w:t xml:space="preserve">Regulatory basis:</w:t>
      </w:r>
      <w:r>
        <w:t xml:space="preserve"> </w:t>
      </w:r>
      <w:r>
        <w:t xml:space="preserve">Regulation E §1005.11(c)(1)</w:t>
      </w:r>
      <w:r>
        <w:br/>
      </w:r>
      <w:r>
        <w:rPr>
          <w:bCs/>
          <w:b/>
        </w:rPr>
        <w:t xml:space="preserve">Cross-references:</w:t>
      </w:r>
      <w:r>
        <w:t xml:space="preserve"> </w:t>
      </w:r>
      <w:r>
        <w:t xml:space="preserve">DBD-4.1, DBD-5.2, DBD-7.2</w:t>
      </w:r>
    </w:p>
    <w:p>
      <w:pPr>
        <w:pStyle w:val="BodyText"/>
      </w:pPr>
      <w:r>
        <w:t xml:space="preserve">The bank must investigate and determine whether an error occurred within</w:t>
      </w:r>
      <w:r>
        <w:t xml:space="preserve"> </w:t>
      </w:r>
      <w:r>
        <w:rPr>
          <w:bCs/>
          <w:b/>
        </w:rPr>
        <w:t xml:space="preserve">10 business days</w:t>
      </w:r>
      <w:r>
        <w:t xml:space="preserve"> </w:t>
      </w:r>
      <w:r>
        <w:t xml:space="preserve">of the date of first notice, and must report the results to the consumer within</w:t>
      </w:r>
      <w:r>
        <w:t xml:space="preserve"> </w:t>
      </w:r>
      <w:r>
        <w:rPr>
          <w:bCs/>
          <w:b/>
        </w:rPr>
        <w:t xml:space="preserve">3 business days</w:t>
      </w:r>
      <w:r>
        <w:t xml:space="preserve"> </w:t>
      </w:r>
      <w:r>
        <w:t xml:space="preserve">of completing the investigation.</w:t>
      </w:r>
    </w:p>
    <w:bookmarkEnd w:id="39"/>
    <w:bookmarkStart w:id="40" w:name="dbd-5.2-extended-investigation"/>
    <w:p>
      <w:pPr>
        <w:pStyle w:val="Heading3"/>
      </w:pPr>
      <w:r>
        <w:t xml:space="preserve">DBD-5.2 — Extended Investigation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qualifying under DBD-4.2 or DBD-4.3</w:t>
      </w:r>
      <w:r>
        <w:br/>
      </w:r>
      <w:r>
        <w:rPr>
          <w:bCs/>
          <w:b/>
        </w:rPr>
        <w:t xml:space="preserve">Regulatory basis:</w:t>
      </w:r>
      <w:r>
        <w:t xml:space="preserve"> </w:t>
      </w:r>
      <w:r>
        <w:t xml:space="preserve">Regulation E §1005.11(c)(3)</w:t>
      </w:r>
      <w:r>
        <w:br/>
      </w:r>
      <w:r>
        <w:rPr>
          <w:bCs/>
          <w:b/>
        </w:rPr>
        <w:t xml:space="preserve">Cross-references:</w:t>
      </w:r>
      <w:r>
        <w:t xml:space="preserve"> </w:t>
      </w:r>
      <w:r>
        <w:t xml:space="preserve">DBD-4.2, DBD-4.3, DBD-5.1</w:t>
      </w:r>
    </w:p>
    <w:p>
      <w:pPr>
        <w:pStyle w:val="BodyText"/>
      </w:pPr>
      <w:r>
        <w:t xml:space="preserve">Where a claim qualifies for extended treatment, the investigation period is</w:t>
      </w:r>
      <w:r>
        <w:t xml:space="preserve"> </w:t>
      </w:r>
      <w:r>
        <w:rPr>
          <w:bCs/>
          <w:b/>
        </w:rPr>
        <w:t xml:space="preserve">45 calendar days</w:t>
      </w:r>
      <w:r>
        <w:t xml:space="preserve"> </w:t>
      </w:r>
      <w:r>
        <w:t xml:space="preserve">from the date of first notice, except that claims qualifying under DBD-4.2 or DBD-4.3 carry a</w:t>
      </w:r>
      <w:r>
        <w:t xml:space="preserve"> </w:t>
      </w:r>
      <w:r>
        <w:rPr>
          <w:bCs/>
          <w:b/>
        </w:rPr>
        <w:t xml:space="preserve">90 calendar day</w:t>
      </w:r>
      <w:r>
        <w:t xml:space="preserve"> </w:t>
      </w:r>
      <w:r>
        <w:t xml:space="preserve">period.</w:t>
      </w:r>
    </w:p>
    <w:p>
      <w:pPr>
        <w:pStyle w:val="BodyText"/>
      </w:pPr>
      <w:r>
        <w:t xml:space="preserve">Extension of the investigation period does not extend the provisional credit obligation, which remains governed by DBD-4.1 as modified by DBD-4.2 or DBD-4.3.</w:t>
      </w:r>
    </w:p>
    <w:p>
      <w:r>
        <w:pict>
          <v:rect style="width:0;height:1.5pt" o:hralign="center" o:hrstd="t" o:hr="t"/>
        </w:pict>
      </w:r>
    </w:p>
    <w:bookmarkEnd w:id="40"/>
    <w:bookmarkEnd w:id="41"/>
    <w:bookmarkStart w:id="44" w:name="special-transaction-types"/>
    <w:p>
      <w:pPr>
        <w:pStyle w:val="Heading2"/>
      </w:pPr>
      <w:r>
        <w:t xml:space="preserve">6. Special Transaction Types</w:t>
      </w:r>
    </w:p>
    <w:bookmarkStart w:id="42" w:name="dbd-6.1-atm-transaction-disputes"/>
    <w:p>
      <w:pPr>
        <w:pStyle w:val="Heading3"/>
      </w:pPr>
      <w:r>
        <w:t xml:space="preserve">DBD-6.1 — ATM Transaction Disputes</w:t>
      </w:r>
    </w:p>
    <w:p>
      <w:pPr>
        <w:pStyle w:val="FirstParagraph"/>
      </w:pPr>
      <w:r>
        <w:rPr>
          <w:bCs/>
          <w:b/>
        </w:rPr>
        <w:t xml:space="preserve">Effective:</w:t>
      </w:r>
      <w:r>
        <w:t xml:space="preserve"> </w:t>
      </w:r>
      <w:r>
        <w:t xml:space="preserve">2024-05-01 → present</w:t>
      </w:r>
      <w:r>
        <w:br/>
      </w:r>
      <w:r>
        <w:rPr>
          <w:bCs/>
          <w:b/>
        </w:rPr>
        <w:t xml:space="preserve">Applies to:</w:t>
      </w:r>
      <w:r>
        <w:t xml:space="preserve"> </w:t>
      </w:r>
      <w:r>
        <w:t xml:space="preserve">Disputes of ATM withdrawals or deposits</w:t>
      </w:r>
      <w:r>
        <w:br/>
      </w:r>
      <w:r>
        <w:rPr>
          <w:bCs/>
          <w:b/>
        </w:rPr>
        <w:t xml:space="preserve">Cross-references:</w:t>
      </w:r>
      <w:r>
        <w:t xml:space="preserve"> </w:t>
      </w:r>
      <w:r>
        <w:t xml:space="preserve">DBD-2.3, FRD-4.2</w:t>
      </w:r>
    </w:p>
    <w:p>
      <w:pPr>
        <w:pStyle w:val="BodyText"/>
      </w:pPr>
      <w:r>
        <w:t xml:space="preserve">For a disputed ATM withdrawal, the claim file must contain the terminal identifier, the terminal transaction log, and — where available and retained — the terminal image capture. Where the bank does not own the terminal, the adjudicator must request the log through the network before determining the claim.</w:t>
      </w:r>
    </w:p>
    <w:p>
      <w:pPr>
        <w:pStyle w:val="BodyText"/>
      </w:pPr>
      <w:r>
        <w:t xml:space="preserve">Absence of a terminal image is not evidence that the transaction was unauthorized, and is not evidence that it was authorized. Where no image exists, the determination rests on the remaining evidence.</w:t>
      </w:r>
    </w:p>
    <w:bookmarkEnd w:id="42"/>
    <w:bookmarkStart w:id="43" w:name="X2615401a09592180847e768bc40bd8f348bb868"/>
    <w:p>
      <w:pPr>
        <w:pStyle w:val="Heading3"/>
      </w:pPr>
      <w:r>
        <w:t xml:space="preserve">DBD-6.2 — Chip-Read Card-Present Transactions</w:t>
      </w:r>
    </w:p>
    <w:p>
      <w:pPr>
        <w:pStyle w:val="FirstParagraph"/>
      </w:pPr>
      <w:r>
        <w:rPr>
          <w:bCs/>
          <w:b/>
        </w:rPr>
        <w:t xml:space="preserve">Effective:</w:t>
      </w:r>
      <w:r>
        <w:t xml:space="preserve"> </w:t>
      </w:r>
      <w:r>
        <w:t xml:space="preserve">2024-05-01 → present</w:t>
      </w:r>
      <w:r>
        <w:br/>
      </w:r>
      <w:r>
        <w:rPr>
          <w:bCs/>
          <w:b/>
        </w:rPr>
        <w:t xml:space="preserve">Applies to:</w:t>
      </w:r>
      <w:r>
        <w:t xml:space="preserve"> </w:t>
      </w:r>
      <w:r>
        <w:t xml:space="preserve">Disputes of transactions authenticated by chip with PIN</w:t>
      </w:r>
      <w:r>
        <w:br/>
      </w:r>
      <w:r>
        <w:rPr>
          <w:bCs/>
          <w:b/>
        </w:rPr>
        <w:t xml:space="preserve">Cross-references:</w:t>
      </w:r>
      <w:r>
        <w:t xml:space="preserve"> </w:t>
      </w:r>
      <w:r>
        <w:t xml:space="preserve">DBD-2.3, FRD-3.3, FRD-4.2</w:t>
      </w:r>
    </w:p>
    <w:p>
      <w:pPr>
        <w:pStyle w:val="BodyText"/>
      </w:pPr>
      <w:r>
        <w:t xml:space="preserve">A transaction authenticated by chip and verified by PIN carries a presumption that the physical card and the PIN were both present. That presumption may be rebutted by evidence of skimming, device compromise, coercion, or account takeover under FRD-4.2.</w:t>
      </w:r>
    </w:p>
    <w:p>
      <w:pPr>
        <w:pStyle w:val="BodyText"/>
      </w:pPr>
      <w:r>
        <w:t xml:space="preserve">The presumption alone is not sufficient grounds for denial. A denial resting on chip-and-PIN authentication must also establish that the consumer had exclusive control of the card and PIN at the transaction time, or must be routed to first-party fraud review under FRD-3.3.</w:t>
      </w:r>
    </w:p>
    <w:p>
      <w:r>
        <w:pict>
          <v:rect style="width:0;height:1.5pt" o:hralign="center" o:hrstd="t" o:hr="t"/>
        </w:pict>
      </w:r>
    </w:p>
    <w:bookmarkEnd w:id="43"/>
    <w:bookmarkEnd w:id="44"/>
    <w:bookmarkStart w:id="47" w:name="determinations-and-notices"/>
    <w:p>
      <w:pPr>
        <w:pStyle w:val="Heading2"/>
      </w:pPr>
      <w:r>
        <w:t xml:space="preserve">7. Determinations and Notices</w:t>
      </w:r>
    </w:p>
    <w:bookmarkStart w:id="45" w:name="dbd-7.1-grounds-for-denial"/>
    <w:p>
      <w:pPr>
        <w:pStyle w:val="Heading3"/>
      </w:pPr>
      <w:r>
        <w:t xml:space="preserve">DBD-7.1 — Grounds for Denial</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debit card dispute claims</w:t>
      </w:r>
      <w:r>
        <w:br/>
      </w:r>
      <w:r>
        <w:rPr>
          <w:bCs/>
          <w:b/>
        </w:rPr>
        <w:t xml:space="preserve">Cross-references:</w:t>
      </w:r>
      <w:r>
        <w:t xml:space="preserve"> </w:t>
      </w:r>
      <w:r>
        <w:t xml:space="preserve">DBD-2.1, DBD-7.2, CCD-7.1</w:t>
      </w:r>
    </w:p>
    <w:p>
      <w:pPr>
        <w:pStyle w:val="BodyText"/>
      </w:pPr>
      <w:r>
        <w:t xml:space="preserve">A claim must be denied where documented evidence establishes any of the following:</w:t>
      </w:r>
    </w:p>
    <w:p>
      <w:pPr>
        <w:numPr>
          <w:ilvl w:val="0"/>
          <w:numId w:val="1001"/>
        </w:numPr>
        <w:pStyle w:val="Compact"/>
      </w:pPr>
      <w:r>
        <w:t xml:space="preserve">The transfer was authorized by the consumer, or initiated by a person to whom the consumer furnished the access device and whose authority the consumer had not revoked by notice to the bank;</w:t>
      </w:r>
    </w:p>
    <w:p>
      <w:pPr>
        <w:numPr>
          <w:ilvl w:val="0"/>
          <w:numId w:val="1001"/>
        </w:numPr>
        <w:pStyle w:val="Compact"/>
      </w:pPr>
      <w:r>
        <w:t xml:space="preserve">The claim was received outside the DBD-2.1 window with no extension available under DBD-2.2, and falls under DBD-2.3.c;</w:t>
      </w:r>
    </w:p>
    <w:p>
      <w:pPr>
        <w:numPr>
          <w:ilvl w:val="0"/>
          <w:numId w:val="1001"/>
        </w:numPr>
        <w:pStyle w:val="Compact"/>
      </w:pPr>
      <w:r>
        <w:t xml:space="preserve">The consumer received the benefit of the transfer;</w:t>
      </w:r>
    </w:p>
    <w:p>
      <w:pPr>
        <w:numPr>
          <w:ilvl w:val="0"/>
          <w:numId w:val="1001"/>
        </w:numPr>
        <w:pStyle w:val="Compact"/>
      </w:pPr>
      <w:r>
        <w:t xml:space="preserve">The claim duplicates a previously adjudicated claim on the same transfer.</w:t>
      </w:r>
    </w:p>
    <w:p>
      <w:pPr>
        <w:pStyle w:val="FirstParagraph"/>
      </w:pPr>
      <w:r>
        <w:t xml:space="preserve">A denial may not rest solely on the consumer’s failure to produce evidence. The bank bears the burden of establishing that no error occurred.</w:t>
      </w:r>
    </w:p>
    <w:bookmarkEnd w:id="45"/>
    <w:bookmarkStart w:id="46" w:name="Xf175ea1b75e4af76c86d3dd2adf8923368a0f13"/>
    <w:p>
      <w:pPr>
        <w:pStyle w:val="Heading3"/>
      </w:pPr>
      <w:r>
        <w:t xml:space="preserve">DBD-7.2 — Adverse Determination Notice and Document Rights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denied claims</w:t>
      </w:r>
      <w:r>
        <w:br/>
      </w:r>
      <w:r>
        <w:rPr>
          <w:bCs/>
          <w:b/>
        </w:rPr>
        <w:t xml:space="preserve">Regulatory basis:</w:t>
      </w:r>
      <w:r>
        <w:t xml:space="preserve"> </w:t>
      </w:r>
      <w:r>
        <w:t xml:space="preserve">Regulation E §1005.11(d)</w:t>
      </w:r>
      <w:r>
        <w:br/>
      </w:r>
      <w:r>
        <w:rPr>
          <w:bCs/>
          <w:b/>
        </w:rPr>
        <w:t xml:space="preserve">Cross-references:</w:t>
      </w:r>
      <w:r>
        <w:t xml:space="preserve"> </w:t>
      </w:r>
      <w:r>
        <w:t xml:space="preserve">DBD-4.4, DBD-7.1, FRD-7.2</w:t>
      </w:r>
    </w:p>
    <w:p>
      <w:pPr>
        <w:pStyle w:val="BodyText"/>
      </w:pPr>
      <w:r>
        <w:t xml:space="preserve">Where the bank determines no error occurred, it must transmit a written explanation of its findings within</w:t>
      </w:r>
      <w:r>
        <w:t xml:space="preserve"> </w:t>
      </w:r>
      <w:r>
        <w:rPr>
          <w:bCs/>
          <w:b/>
        </w:rPr>
        <w:t xml:space="preserve">3 business days</w:t>
      </w:r>
      <w:r>
        <w:t xml:space="preserve"> </w:t>
      </w:r>
      <w:r>
        <w:t xml:space="preserve">of concluding the investigation, and must note the consumer’s right to request the documents relied upon in reaching the determination.</w:t>
      </w:r>
    </w:p>
    <w:p>
      <w:pPr>
        <w:pStyle w:val="BodyText"/>
      </w:pPr>
      <w:r>
        <w:t xml:space="preserve">Upon request, the bank must promptly deliver those documents. The explanation must identify the specific provision or regulation relied upon; a general statement that the claim was investigated and denied does not satisfy this provision.</w:t>
      </w:r>
    </w:p>
    <w:p>
      <w:r>
        <w:pict>
          <v:rect style="width:0;height:1.5pt" o:hralign="center" o:hrstd="t" o:hr="t"/>
        </w:pict>
      </w:r>
    </w:p>
    <w:bookmarkEnd w:id="46"/>
    <w:bookmarkEnd w:id="47"/>
    <w:bookmarkStart w:id="49" w:name="recurring-transactions"/>
    <w:p>
      <w:pPr>
        <w:pStyle w:val="Heading2"/>
      </w:pPr>
      <w:r>
        <w:t xml:space="preserve">8. Recurring Transactions</w:t>
      </w:r>
    </w:p>
    <w:bookmarkStart w:id="48" w:name="X99e03ac4bc420798b56c9ff3e65b57c2d7a40d3"/>
    <w:p>
      <w:pPr>
        <w:pStyle w:val="Heading3"/>
      </w:pPr>
      <w:r>
        <w:t xml:space="preserve">DBD-8.1 — Recurring Debit Card Transactions</w:t>
      </w:r>
    </w:p>
    <w:p>
      <w:pPr>
        <w:pStyle w:val="FirstParagraph"/>
      </w:pPr>
      <w:r>
        <w:rPr>
          <w:bCs/>
          <w:b/>
        </w:rPr>
        <w:t xml:space="preserve">Effective:</w:t>
      </w:r>
      <w:r>
        <w:t xml:space="preserve"> </w:t>
      </w:r>
      <w:r>
        <w:t xml:space="preserve">2024-04-01 → present</w:t>
      </w:r>
      <w:r>
        <w:br/>
      </w:r>
      <w:r>
        <w:rPr>
          <w:bCs/>
          <w:b/>
        </w:rPr>
        <w:t xml:space="preserve">Applies to:</w:t>
      </w:r>
      <w:r>
        <w:t xml:space="preserve"> </w:t>
      </w:r>
      <w:r>
        <w:t xml:space="preserve">Disputes of recurring or subscription charges on debit cards</w:t>
      </w:r>
      <w:r>
        <w:br/>
      </w:r>
      <w:r>
        <w:rPr>
          <w:bCs/>
          <w:b/>
        </w:rPr>
        <w:t xml:space="preserve">Cross-references:</w:t>
      </w:r>
      <w:r>
        <w:t xml:space="preserve"> </w:t>
      </w:r>
      <w:r>
        <w:t xml:space="preserve">CCD-8.1, ACH-8.1</w:t>
      </w:r>
    </w:p>
    <w:p>
      <w:pPr>
        <w:pStyle w:val="BodyText"/>
      </w:pPr>
      <w:r>
        <w:t xml:space="preserve">Where a consumer disputes a recurring debit card charge on the ground that authorization was revoked, the claim file must record the revocation date and method. Charges posted before the documented revocation date are not disputable on that ground.</w:t>
      </w:r>
    </w:p>
    <w:p>
      <w:pPr>
        <w:pStyle w:val="BodyText"/>
      </w:pPr>
      <w:r>
        <w:t xml:space="preserve">Where the consumer revoked authorization with the merchant but the merchant continued to charge, the consumer may also request a stop payment. The adjudicator must inform the consumer of that option at the time the claim is taken.</w:t>
      </w:r>
    </w:p>
    <w:p>
      <w:r>
        <w:pict>
          <v:rect style="width:0;height:1.5pt" o:hralign="center" o:hrstd="t" o:hr="t"/>
        </w:pict>
      </w:r>
    </w:p>
    <w:bookmarkEnd w:id="48"/>
    <w:bookmarkEnd w:id="49"/>
    <w:bookmarkStart w:id="51" w:name="exclusions"/>
    <w:p>
      <w:pPr>
        <w:pStyle w:val="Heading2"/>
      </w:pPr>
      <w:r>
        <w:t xml:space="preserve">9. Exclusions</w:t>
      </w:r>
    </w:p>
    <w:bookmarkStart w:id="50" w:name="dbd-9.1-business-account-exclusion"/>
    <w:p>
      <w:pPr>
        <w:pStyle w:val="Heading3"/>
      </w:pPr>
      <w:r>
        <w:t xml:space="preserve">DBD-9.1 — Business Account Exclusion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Debit cards issued on business or commercial deposit accounts</w:t>
      </w:r>
      <w:r>
        <w:br/>
      </w:r>
      <w:r>
        <w:rPr>
          <w:bCs/>
          <w:b/>
        </w:rPr>
        <w:t xml:space="preserve">Cross-references:</w:t>
      </w:r>
      <w:r>
        <w:t xml:space="preserve"> </w:t>
      </w:r>
      <w:r>
        <w:t xml:space="preserve">DBD-1.1, CCD-9.1</w:t>
      </w:r>
    </w:p>
    <w:p>
      <w:pPr>
        <w:pStyle w:val="BodyText"/>
      </w:pPr>
      <w:r>
        <w:t xml:space="preserve">Regulation E protections, including the liability limits at DBD-2.3 and the provisional credit obligations at Section 4, do not apply to accounts held for business purposes. Claims on business accounts are governed by the deposit agreement and applicable network rules.</w:t>
      </w:r>
    </w:p>
    <w:p>
      <w:pPr>
        <w:pStyle w:val="BodyText"/>
      </w:pPr>
      <w:r>
        <w:t xml:space="preserve">Where an account is held by a sole proprietor and used for both personal and business purposes, the adjudicator must determine the predominant purpose of the account before applying this exclusion, and must record the basis for that determination.</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2026-08-16T22:47:43Z</dcterms:created>
  <dcterms:modified xsi:type="dcterms:W3CDTF">2026-08-16T22:47:43Z</dcterms:modified>
</cp:coreProperties>
</file>

<file path=docProps/custom.xml><?xml version="1.0" encoding="utf-8"?>
<Properties xmlns="http://schemas.openxmlformats.org/officeDocument/2006/custom-properties" xmlns:vt="http://schemas.openxmlformats.org/officeDocument/2006/docPropsVTypes"/>
</file>