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VoC Module Technical Architecture Document</w:t>
      </w:r>
    </w:p>
    <w:p>
      <w:pPr>
        <w:spacing w:after="280"/>
      </w:pPr>
      <w:r>
        <w:rPr>
          <w:color w:val="555555"/>
          <w:sz w:val="22"/>
        </w:rPr>
        <w:t>Voice of Customer Prototype Module</w:t>
      </w:r>
    </w:p>
    <w:p>
      <w:pPr>
        <w:pStyle w:val="Heading1"/>
      </w:pPr>
      <w:r>
        <w:t>1. Purpose</w:t>
      </w:r>
    </w:p>
    <w:p>
      <w:r>
        <w:t>This document defines the technical architecture for the Voice of Customer (VoC) prototype module. The prototype demonstrates how automobile aftersales feedback can be ingested, analyzed, scored, and converted into actionable insights for OEM and dealer stakeholders.</w:t>
      </w:r>
    </w:p>
    <w:p>
      <w:r>
        <w:t>The prototype is not intended to be production ready. It will use seeded or uploaded data, mocked downstream integrations, and simplified operational controls while preserving a realistic application architecture that can be extended during productionization.</w:t>
      </w:r>
    </w:p>
    <w:p>
      <w:pPr>
        <w:pStyle w:val="Heading1"/>
      </w:pPr>
      <w:r>
        <w:t>2. Architecture Goals</w:t>
      </w:r>
    </w:p>
    <w:p>
      <w:pPr>
        <w:pStyle w:val="ListBullet"/>
        <w:spacing w:after="80"/>
      </w:pPr>
      <w:r>
        <w:t>Demonstrate end-to-end VoC workflows using realistic aftersales feedback data.</w:t>
      </w:r>
    </w:p>
    <w:p>
      <w:pPr>
        <w:pStyle w:val="ListBullet"/>
        <w:spacing w:after="80"/>
      </w:pPr>
      <w:r>
        <w:t>Use the same technical stack pattern as Sales Forecasting Prism.</w:t>
      </w:r>
    </w:p>
    <w:p>
      <w:pPr>
        <w:pStyle w:val="ListBullet"/>
        <w:spacing w:after="80"/>
      </w:pPr>
      <w:r>
        <w:t>Keep source code modular so prototype services can evolve into production services.</w:t>
      </w:r>
    </w:p>
    <w:p>
      <w:pPr>
        <w:pStyle w:val="ListBullet"/>
        <w:spacing w:after="80"/>
      </w:pPr>
      <w:r>
        <w:t>Separate NLP/AI processing from business rules and dashboard APIs.</w:t>
      </w:r>
    </w:p>
    <w:p>
      <w:pPr>
        <w:pStyle w:val="ListBullet"/>
        <w:spacing w:after="80"/>
      </w:pPr>
      <w:r>
        <w:t>Support role-based user journeys for OEM, dealer, admin, and review users.</w:t>
      </w:r>
    </w:p>
    <w:p>
      <w:pPr>
        <w:pStyle w:val="Heading1"/>
      </w:pPr>
      <w:r>
        <w:t>3. Technical Stack</w:t>
      </w:r>
    </w:p>
    <w:tbl>
      <w:tblPr>
        <w:tblStyle w:val="TableGrid"/>
        <w:tblW w:type="dxa" w:w="936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664"/>
            <w:vAlign w:val="center"/>
            <w:shd w:fill="F2F4F7"/>
          </w:tcPr>
          <w:p>
            <w:pPr>
              <w:spacing w:after="0"/>
            </w:pPr>
            <w:r>
              <w:rPr>
                <w:rFonts w:ascii="Calibri" w:hAnsi="Calibri"/>
                <w:b/>
                <w:sz w:val="20"/>
              </w:rPr>
              <w:t>Layer</w:t>
            </w:r>
          </w:p>
        </w:tc>
        <w:tc>
          <w:tcPr>
            <w:tcW w:type="dxa" w:w="6696"/>
            <w:vAlign w:val="center"/>
            <w:shd w:fill="F2F4F7"/>
          </w:tcPr>
          <w:p>
            <w:pPr>
              <w:spacing w:after="0"/>
            </w:pPr>
            <w:r>
              <w:rPr>
                <w:rFonts w:ascii="Calibri" w:hAnsi="Calibri"/>
                <w:b/>
                <w:sz w:val="20"/>
              </w:rPr>
              <w:t>Technology</w:t>
            </w:r>
          </w:p>
        </w:tc>
      </w:tr>
      <w:tr>
        <w:tc>
          <w:tcPr>
            <w:tcW w:type="dxa" w:w="2664"/>
            <w:vAlign w:val="center"/>
          </w:tcPr>
          <w:p>
            <w:pPr>
              <w:spacing w:after="0"/>
            </w:pPr>
            <w:r>
              <w:rPr>
                <w:rFonts w:ascii="Calibri" w:hAnsi="Calibri"/>
                <w:sz w:val="20"/>
              </w:rPr>
              <w:t>Frontend</w:t>
            </w:r>
          </w:p>
        </w:tc>
        <w:tc>
          <w:tcPr>
            <w:tcW w:type="dxa" w:w="6696"/>
            <w:vAlign w:val="center"/>
          </w:tcPr>
          <w:p>
            <w:pPr>
              <w:spacing w:after="0"/>
            </w:pPr>
            <w:r>
              <w:rPr>
                <w:rFonts w:ascii="Calibri" w:hAnsi="Calibri"/>
                <w:sz w:val="20"/>
              </w:rPr>
              <w:t>React + TypeScript</w:t>
            </w:r>
          </w:p>
        </w:tc>
      </w:tr>
      <w:tr>
        <w:tc>
          <w:tcPr>
            <w:tcW w:type="dxa" w:w="2664"/>
            <w:vAlign w:val="center"/>
          </w:tcPr>
          <w:p>
            <w:pPr>
              <w:spacing w:after="0"/>
            </w:pPr>
            <w:r>
              <w:rPr>
                <w:rFonts w:ascii="Calibri" w:hAnsi="Calibri"/>
                <w:sz w:val="20"/>
              </w:rPr>
              <w:t>Build Tool</w:t>
            </w:r>
          </w:p>
        </w:tc>
        <w:tc>
          <w:tcPr>
            <w:tcW w:type="dxa" w:w="6696"/>
            <w:vAlign w:val="center"/>
          </w:tcPr>
          <w:p>
            <w:pPr>
              <w:spacing w:after="0"/>
            </w:pPr>
            <w:r>
              <w:rPr>
                <w:rFonts w:ascii="Calibri" w:hAnsi="Calibri"/>
                <w:sz w:val="20"/>
              </w:rPr>
              <w:t>Vite</w:t>
            </w:r>
          </w:p>
        </w:tc>
      </w:tr>
      <w:tr>
        <w:tc>
          <w:tcPr>
            <w:tcW w:type="dxa" w:w="2664"/>
            <w:vAlign w:val="center"/>
          </w:tcPr>
          <w:p>
            <w:pPr>
              <w:spacing w:after="0"/>
            </w:pPr>
            <w:r>
              <w:rPr>
                <w:rFonts w:ascii="Calibri" w:hAnsi="Calibri"/>
                <w:sz w:val="20"/>
              </w:rPr>
              <w:t>Styling</w:t>
            </w:r>
          </w:p>
        </w:tc>
        <w:tc>
          <w:tcPr>
            <w:tcW w:type="dxa" w:w="6696"/>
            <w:vAlign w:val="center"/>
          </w:tcPr>
          <w:p>
            <w:pPr>
              <w:spacing w:after="0"/>
            </w:pPr>
            <w:r>
              <w:rPr>
                <w:rFonts w:ascii="Calibri" w:hAnsi="Calibri"/>
                <w:sz w:val="20"/>
              </w:rPr>
              <w:t>Tailwind CSS</w:t>
            </w:r>
          </w:p>
        </w:tc>
      </w:tr>
      <w:tr>
        <w:tc>
          <w:tcPr>
            <w:tcW w:type="dxa" w:w="2664"/>
            <w:vAlign w:val="center"/>
          </w:tcPr>
          <w:p>
            <w:pPr>
              <w:spacing w:after="0"/>
            </w:pPr>
            <w:r>
              <w:rPr>
                <w:rFonts w:ascii="Calibri" w:hAnsi="Calibri"/>
                <w:sz w:val="20"/>
              </w:rPr>
              <w:t>UI Components</w:t>
            </w:r>
          </w:p>
        </w:tc>
        <w:tc>
          <w:tcPr>
            <w:tcW w:type="dxa" w:w="6696"/>
            <w:vAlign w:val="center"/>
          </w:tcPr>
          <w:p>
            <w:pPr>
              <w:spacing w:after="0"/>
            </w:pPr>
            <w:r>
              <w:rPr>
                <w:rFonts w:ascii="Calibri" w:hAnsi="Calibri"/>
                <w:sz w:val="20"/>
              </w:rPr>
              <w:t>shadcn/ui or equivalent reusable component library</w:t>
            </w:r>
          </w:p>
        </w:tc>
      </w:tr>
      <w:tr>
        <w:tc>
          <w:tcPr>
            <w:tcW w:type="dxa" w:w="2664"/>
            <w:vAlign w:val="center"/>
          </w:tcPr>
          <w:p>
            <w:pPr>
              <w:spacing w:after="0"/>
            </w:pPr>
            <w:r>
              <w:rPr>
                <w:rFonts w:ascii="Calibri" w:hAnsi="Calibri"/>
                <w:sz w:val="20"/>
              </w:rPr>
              <w:t>Backend</w:t>
            </w:r>
          </w:p>
        </w:tc>
        <w:tc>
          <w:tcPr>
            <w:tcW w:type="dxa" w:w="6696"/>
            <w:vAlign w:val="center"/>
          </w:tcPr>
          <w:p>
            <w:pPr>
              <w:spacing w:after="0"/>
            </w:pPr>
            <w:r>
              <w:rPr>
                <w:rFonts w:ascii="Calibri" w:hAnsi="Calibri"/>
                <w:sz w:val="20"/>
              </w:rPr>
              <w:t>Node.js + Express API service</w:t>
            </w:r>
          </w:p>
        </w:tc>
      </w:tr>
      <w:tr>
        <w:tc>
          <w:tcPr>
            <w:tcW w:type="dxa" w:w="2664"/>
            <w:vAlign w:val="center"/>
          </w:tcPr>
          <w:p>
            <w:pPr>
              <w:spacing w:after="0"/>
            </w:pPr>
            <w:r>
              <w:rPr>
                <w:rFonts w:ascii="Calibri" w:hAnsi="Calibri"/>
                <w:sz w:val="20"/>
              </w:rPr>
              <w:t>Database</w:t>
            </w:r>
          </w:p>
        </w:tc>
        <w:tc>
          <w:tcPr>
            <w:tcW w:type="dxa" w:w="6696"/>
            <w:vAlign w:val="center"/>
          </w:tcPr>
          <w:p>
            <w:pPr>
              <w:spacing w:after="0"/>
            </w:pPr>
            <w:r>
              <w:rPr>
                <w:rFonts w:ascii="Calibri" w:hAnsi="Calibri"/>
                <w:sz w:val="20"/>
              </w:rPr>
              <w:t>PostgreSQL</w:t>
            </w:r>
          </w:p>
        </w:tc>
      </w:tr>
      <w:tr>
        <w:tc>
          <w:tcPr>
            <w:tcW w:type="dxa" w:w="2664"/>
            <w:vAlign w:val="center"/>
          </w:tcPr>
          <w:p>
            <w:pPr>
              <w:spacing w:after="0"/>
            </w:pPr>
            <w:r>
              <w:rPr>
                <w:rFonts w:ascii="Calibri" w:hAnsi="Calibri"/>
                <w:sz w:val="20"/>
              </w:rPr>
              <w:t>ORM / DB Access</w:t>
            </w:r>
          </w:p>
        </w:tc>
        <w:tc>
          <w:tcPr>
            <w:tcW w:type="dxa" w:w="6696"/>
            <w:vAlign w:val="center"/>
          </w:tcPr>
          <w:p>
            <w:pPr>
              <w:spacing w:after="0"/>
            </w:pPr>
            <w:r>
              <w:rPr>
                <w:rFonts w:ascii="Calibri" w:hAnsi="Calibri"/>
                <w:sz w:val="20"/>
              </w:rPr>
              <w:t>Prisma</w:t>
            </w:r>
          </w:p>
        </w:tc>
      </w:tr>
      <w:tr>
        <w:tc>
          <w:tcPr>
            <w:tcW w:type="dxa" w:w="2664"/>
            <w:vAlign w:val="center"/>
          </w:tcPr>
          <w:p>
            <w:pPr>
              <w:spacing w:after="0"/>
            </w:pPr>
            <w:r>
              <w:rPr>
                <w:rFonts w:ascii="Calibri" w:hAnsi="Calibri"/>
                <w:sz w:val="20"/>
              </w:rPr>
              <w:t>API Style</w:t>
            </w:r>
          </w:p>
        </w:tc>
        <w:tc>
          <w:tcPr>
            <w:tcW w:type="dxa" w:w="6696"/>
            <w:vAlign w:val="center"/>
          </w:tcPr>
          <w:p>
            <w:pPr>
              <w:spacing w:after="0"/>
            </w:pPr>
            <w:r>
              <w:rPr>
                <w:rFonts w:ascii="Calibri" w:hAnsi="Calibri"/>
                <w:sz w:val="20"/>
              </w:rPr>
              <w:t>REST APIs</w:t>
            </w:r>
          </w:p>
        </w:tc>
      </w:tr>
      <w:tr>
        <w:tc>
          <w:tcPr>
            <w:tcW w:type="dxa" w:w="2664"/>
            <w:vAlign w:val="center"/>
          </w:tcPr>
          <w:p>
            <w:pPr>
              <w:spacing w:after="0"/>
            </w:pPr>
            <w:r>
              <w:rPr>
                <w:rFonts w:ascii="Calibri" w:hAnsi="Calibri"/>
                <w:sz w:val="20"/>
              </w:rPr>
              <w:t>Authentication / Authorization</w:t>
            </w:r>
          </w:p>
        </w:tc>
        <w:tc>
          <w:tcPr>
            <w:tcW w:type="dxa" w:w="6696"/>
            <w:vAlign w:val="center"/>
          </w:tcPr>
          <w:p>
            <w:pPr>
              <w:spacing w:after="0"/>
            </w:pPr>
            <w:r>
              <w:rPr>
                <w:rFonts w:ascii="Calibri" w:hAnsi="Calibri"/>
                <w:sz w:val="20"/>
              </w:rPr>
              <w:t>Role-based access control for prototype roles</w:t>
            </w:r>
          </w:p>
        </w:tc>
      </w:tr>
      <w:tr>
        <w:tc>
          <w:tcPr>
            <w:tcW w:type="dxa" w:w="2664"/>
            <w:vAlign w:val="center"/>
          </w:tcPr>
          <w:p>
            <w:pPr>
              <w:spacing w:after="0"/>
            </w:pPr>
            <w:r>
              <w:rPr>
                <w:rFonts w:ascii="Calibri" w:hAnsi="Calibri"/>
                <w:sz w:val="20"/>
              </w:rPr>
              <w:t>AI / NLP</w:t>
            </w:r>
          </w:p>
        </w:tc>
        <w:tc>
          <w:tcPr>
            <w:tcW w:type="dxa" w:w="6696"/>
            <w:vAlign w:val="center"/>
          </w:tcPr>
          <w:p>
            <w:pPr>
              <w:spacing w:after="0"/>
            </w:pPr>
            <w:r>
              <w:rPr>
                <w:rFonts w:ascii="Calibri" w:hAnsi="Calibri"/>
                <w:sz w:val="20"/>
              </w:rPr>
              <w:t>LLM/NLP service integration behind backend service boundaries</w:t>
            </w:r>
          </w:p>
        </w:tc>
      </w:tr>
      <w:tr>
        <w:tc>
          <w:tcPr>
            <w:tcW w:type="dxa" w:w="2664"/>
            <w:vAlign w:val="center"/>
          </w:tcPr>
          <w:p>
            <w:pPr>
              <w:spacing w:after="0"/>
            </w:pPr>
            <w:r>
              <w:rPr>
                <w:rFonts w:ascii="Calibri" w:hAnsi="Calibri"/>
                <w:sz w:val="20"/>
              </w:rPr>
              <w:t>Data Upload</w:t>
            </w:r>
          </w:p>
        </w:tc>
        <w:tc>
          <w:tcPr>
            <w:tcW w:type="dxa" w:w="6696"/>
            <w:vAlign w:val="center"/>
          </w:tcPr>
          <w:p>
            <w:pPr>
              <w:spacing w:after="0"/>
            </w:pPr>
            <w:r>
              <w:rPr>
                <w:rFonts w:ascii="Calibri" w:hAnsi="Calibri"/>
                <w:sz w:val="20"/>
              </w:rPr>
              <w:t>CSV/Excel upload for seeded prototype data</w:t>
            </w:r>
          </w:p>
        </w:tc>
      </w:tr>
      <w:tr>
        <w:tc>
          <w:tcPr>
            <w:tcW w:type="dxa" w:w="2664"/>
            <w:vAlign w:val="center"/>
          </w:tcPr>
          <w:p>
            <w:pPr>
              <w:spacing w:after="0"/>
            </w:pPr>
            <w:r>
              <w:rPr>
                <w:rFonts w:ascii="Calibri" w:hAnsi="Calibri"/>
                <w:sz w:val="20"/>
              </w:rPr>
              <w:t>Configuration</w:t>
            </w:r>
          </w:p>
        </w:tc>
        <w:tc>
          <w:tcPr>
            <w:tcW w:type="dxa" w:w="6696"/>
            <w:vAlign w:val="center"/>
          </w:tcPr>
          <w:p>
            <w:pPr>
              <w:spacing w:after="0"/>
            </w:pPr>
            <w:r>
              <w:rPr>
                <w:rFonts w:ascii="Calibri" w:hAnsi="Calibri"/>
                <w:sz w:val="20"/>
              </w:rPr>
              <w:t>Environment variables through .env files</w:t>
            </w:r>
          </w:p>
        </w:tc>
      </w:tr>
    </w:tbl>
    <w:p>
      <w:pPr>
        <w:spacing w:after="40"/>
      </w:pPr>
    </w:p>
    <w:p>
      <w:pPr>
        <w:pStyle w:val="Heading1"/>
      </w:pPr>
      <w:r>
        <w:t>4. High-Level Architecture</w:t>
      </w:r>
    </w:p>
    <w:p>
      <w:pPr>
        <w:spacing w:before="40" w:after="160"/>
        <w:ind w:left="216"/>
        <w:jc w:val="center"/>
      </w:pPr>
      <w:r>
        <w:drawing>
          <wp:inline xmlns:a="http://schemas.openxmlformats.org/drawingml/2006/main" xmlns:pic="http://schemas.openxmlformats.org/drawingml/2006/picture">
            <wp:extent cx="5897880" cy="3460090"/>
            <wp:docPr id="1" name="Picture 1"/>
            <wp:cNvGraphicFramePr>
              <a:graphicFrameLocks noChangeAspect="1"/>
            </wp:cNvGraphicFramePr>
            <a:graphic>
              <a:graphicData uri="http://schemas.openxmlformats.org/drawingml/2006/picture">
                <pic:pic>
                  <pic:nvPicPr>
                    <pic:cNvPr id="0" name="high-level-architecture.png"/>
                    <pic:cNvPicPr/>
                  </pic:nvPicPr>
                  <pic:blipFill>
                    <a:blip r:embed="rId10"/>
                    <a:stretch>
                      <a:fillRect/>
                    </a:stretch>
                  </pic:blipFill>
                  <pic:spPr>
                    <a:xfrm>
                      <a:off x="0" y="0"/>
                      <a:ext cx="5897880" cy="3460090"/>
                    </a:xfrm>
                    <a:prstGeom prst="rect"/>
                  </pic:spPr>
                </pic:pic>
              </a:graphicData>
            </a:graphic>
          </wp:inline>
        </w:drawing>
      </w:r>
    </w:p>
    <w:p>
      <w:pPr>
        <w:pStyle w:val="Heading1"/>
      </w:pPr>
      <w:r>
        <w:t>5. Application Structure</w:t>
      </w:r>
    </w:p>
    <w:p>
      <w:r>
        <w:t>The repository should follow this top-level layout:</w:t>
      </w:r>
    </w:p>
    <w:p>
      <w:pPr>
        <w:spacing w:before="40" w:after="160"/>
        <w:ind w:left="216"/>
      </w:pPr>
      <w:r>
        <w:rPr>
          <w:rFonts w:ascii="Consolas" w:hAnsi="Consolas"/>
          <w:color w:val="333333"/>
          <w:sz w:val="18"/>
        </w:rPr>
        <w:t>VoC/</w:t>
        <w:br/>
        <w:t xml:space="preserve">  doc/</w:t>
        <w:br/>
        <w:t xml:space="preserve">    technical-architecture.md</w:t>
        <w:br/>
        <w:t xml:space="preserve">  src/</w:t>
        <w:br/>
        <w:t xml:space="preserve">    frontend/</w:t>
        <w:br/>
        <w:t xml:space="preserve">    backend/</w:t>
        <w:br/>
        <w:t xml:space="preserve">    shared/</w:t>
      </w:r>
    </w:p>
    <w:p>
      <w:r>
        <w:t xml:space="preserve">Recommended </w:t>
      </w:r>
      <w:r>
        <w:rPr>
          <w:rFonts w:ascii="Consolas" w:hAnsi="Consolas"/>
          <w:sz w:val="19"/>
        </w:rPr>
        <w:t>src</w:t>
      </w:r>
      <w:r>
        <w:t xml:space="preserve"> organization:</w:t>
      </w:r>
    </w:p>
    <w:tbl>
      <w:tblPr>
        <w:tblStyle w:val="TableGrid"/>
        <w:tblW w:type="dxa" w:w="936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664"/>
            <w:vAlign w:val="center"/>
            <w:shd w:fill="F2F4F7"/>
          </w:tcPr>
          <w:p>
            <w:pPr>
              <w:spacing w:after="0"/>
            </w:pPr>
            <w:r>
              <w:rPr>
                <w:rFonts w:ascii="Calibri" w:hAnsi="Calibri"/>
                <w:b/>
                <w:sz w:val="20"/>
              </w:rPr>
              <w:t>Folder</w:t>
            </w:r>
          </w:p>
        </w:tc>
        <w:tc>
          <w:tcPr>
            <w:tcW w:type="dxa" w:w="6696"/>
            <w:vAlign w:val="center"/>
            <w:shd w:fill="F2F4F7"/>
          </w:tcPr>
          <w:p>
            <w:pPr>
              <w:spacing w:after="0"/>
            </w:pPr>
            <w:r>
              <w:rPr>
                <w:rFonts w:ascii="Calibri" w:hAnsi="Calibri"/>
                <w:b/>
                <w:sz w:val="20"/>
              </w:rPr>
              <w:t>Purpose</w:t>
            </w:r>
          </w:p>
        </w:tc>
      </w:tr>
      <w:tr>
        <w:tc>
          <w:tcPr>
            <w:tcW w:type="dxa" w:w="2664"/>
            <w:vAlign w:val="center"/>
          </w:tcPr>
          <w:p>
            <w:pPr>
              <w:spacing w:after="0"/>
            </w:pPr>
            <w:r>
              <w:rPr>
                <w:rFonts w:ascii="Calibri" w:hAnsi="Calibri"/>
                <w:sz w:val="20"/>
              </w:rPr>
              <w:t>src/frontend</w:t>
            </w:r>
          </w:p>
        </w:tc>
        <w:tc>
          <w:tcPr>
            <w:tcW w:type="dxa" w:w="6696"/>
            <w:vAlign w:val="center"/>
          </w:tcPr>
          <w:p>
            <w:pPr>
              <w:spacing w:after="0"/>
            </w:pPr>
            <w:r>
              <w:rPr>
                <w:rFonts w:ascii="Calibri" w:hAnsi="Calibri"/>
                <w:sz w:val="20"/>
              </w:rPr>
              <w:t>React application, routes, screens, components, hooks, and API clients</w:t>
            </w:r>
          </w:p>
        </w:tc>
      </w:tr>
      <w:tr>
        <w:tc>
          <w:tcPr>
            <w:tcW w:type="dxa" w:w="2664"/>
            <w:vAlign w:val="center"/>
          </w:tcPr>
          <w:p>
            <w:pPr>
              <w:spacing w:after="0"/>
            </w:pPr>
            <w:r>
              <w:rPr>
                <w:rFonts w:ascii="Calibri" w:hAnsi="Calibri"/>
                <w:sz w:val="20"/>
              </w:rPr>
              <w:t>src/backend</w:t>
            </w:r>
          </w:p>
        </w:tc>
        <w:tc>
          <w:tcPr>
            <w:tcW w:type="dxa" w:w="6696"/>
            <w:vAlign w:val="center"/>
          </w:tcPr>
          <w:p>
            <w:r>
              <w:t>Express server, REST APIs, services, and Prisma integration</w:t>
            </w:r>
          </w:p>
        </w:tc>
      </w:tr>
      <w:tr>
        <w:tc>
          <w:tcPr>
            <w:tcW w:type="dxa" w:w="2664"/>
            <w:vAlign w:val="center"/>
          </w:tcPr>
          <w:p>
            <w:pPr>
              <w:spacing w:after="0"/>
            </w:pPr>
            <w:r>
              <w:rPr>
                <w:rFonts w:ascii="Calibri" w:hAnsi="Calibri"/>
                <w:sz w:val="20"/>
              </w:rPr>
              <w:t>src/shared</w:t>
            </w:r>
          </w:p>
        </w:tc>
        <w:tc>
          <w:tcPr>
            <w:tcW w:type="dxa" w:w="6696"/>
            <w:vAlign w:val="center"/>
          </w:tcPr>
          <w:p>
            <w:pPr>
              <w:spacing w:after="0"/>
            </w:pPr>
            <w:r>
              <w:rPr>
                <w:rFonts w:ascii="Calibri" w:hAnsi="Calibri"/>
                <w:sz w:val="20"/>
              </w:rPr>
              <w:t>Shared TypeScript types, constants, taxonomies, and validation schemas</w:t>
            </w:r>
          </w:p>
        </w:tc>
      </w:tr>
    </w:tbl>
    <w:p>
      <w:pPr>
        <w:spacing w:after="40"/>
      </w:pPr>
    </w:p>
    <w:p>
      <w:pPr>
        <w:pStyle w:val="Heading1"/>
      </w:pPr>
      <w:r>
        <w:t>6. Core Prototype Modules</w:t>
      </w:r>
    </w:p>
    <w:p>
      <w:pPr>
        <w:pStyle w:val="Heading2"/>
      </w:pPr>
      <w:r>
        <w:t>6.1 Data Ingestion</w:t>
      </w:r>
    </w:p>
    <w:p>
      <w:r>
        <w:t>The prototype will ingest data through seeded datasets and file uploads rather than live integrations.</w:t>
      </w:r>
    </w:p>
    <w:p>
      <w:r>
        <w:t>Initial sources:</w:t>
      </w:r>
    </w:p>
    <w:p>
      <w:pPr>
        <w:pStyle w:val="ListBullet"/>
        <w:spacing w:after="80"/>
      </w:pPr>
      <w:r>
        <w:t>Post-service survey feedback</w:t>
      </w:r>
    </w:p>
    <w:p>
      <w:pPr>
        <w:pStyle w:val="ListBullet"/>
        <w:spacing w:after="80"/>
      </w:pPr>
      <w:r>
        <w:t>Digital job-card technician notes</w:t>
      </w:r>
    </w:p>
    <w:p>
      <w:pPr>
        <w:pStyle w:val="ListBullet"/>
        <w:spacing w:after="80"/>
      </w:pPr>
      <w:r>
        <w:t>Warranty claim descriptions</w:t>
      </w:r>
    </w:p>
    <w:p>
      <w:pPr>
        <w:pStyle w:val="ListBullet"/>
        <w:spacing w:after="80"/>
      </w:pPr>
      <w:r>
        <w:t>Optional Google/dealer review sample data</w:t>
      </w:r>
    </w:p>
    <w:p>
      <w:r>
        <w:t>The ingestion service will normalize source records into a common feedback model and store both the raw input and processed output.</w:t>
      </w:r>
    </w:p>
    <w:p>
      <w:pPr>
        <w:pStyle w:val="Heading2"/>
      </w:pPr>
      <w:r>
        <w:t>6.2 NLP / AI Processing</w:t>
      </w:r>
    </w:p>
    <w:p>
      <w:r>
        <w:t>The NLP pipeline should run as a backend service layer. It should be callable after upload, during seed execution, or through a manual reprocess action in the prototype UI.</w:t>
      </w:r>
    </w:p>
    <w:p>
      <w:r>
        <w:t>Processing stages:</w:t>
      </w:r>
    </w:p>
    <w:p>
      <w:pPr>
        <w:pStyle w:val="ListNumber"/>
        <w:spacing w:after="80"/>
      </w:pPr>
      <w:r>
        <w:t>PII masking</w:t>
      </w:r>
    </w:p>
    <w:p>
      <w:pPr>
        <w:pStyle w:val="ListNumber"/>
        <w:spacing w:after="80"/>
      </w:pPr>
      <w:r>
        <w:t>Language detection</w:t>
      </w:r>
    </w:p>
    <w:p>
      <w:pPr>
        <w:pStyle w:val="ListNumber"/>
        <w:spacing w:after="80"/>
      </w:pPr>
      <w:r>
        <w:t>Translation to English where required</w:t>
      </w:r>
    </w:p>
    <w:p>
      <w:pPr>
        <w:pStyle w:val="ListNumber"/>
        <w:spacing w:after="80"/>
      </w:pPr>
      <w:r>
        <w:t>Sentiment classification</w:t>
      </w:r>
    </w:p>
    <w:p>
      <w:pPr>
        <w:pStyle w:val="ListNumber"/>
        <w:spacing w:after="80"/>
      </w:pPr>
      <w:r>
        <w:t>Topic extraction</w:t>
      </w:r>
    </w:p>
    <w:p>
      <w:pPr>
        <w:pStyle w:val="ListNumber"/>
        <w:spacing w:after="80"/>
      </w:pPr>
      <w:r>
        <w:t>Named entity extraction</w:t>
      </w:r>
    </w:p>
    <w:p>
      <w:pPr>
        <w:pStyle w:val="ListNumber"/>
        <w:spacing w:after="80"/>
      </w:pPr>
      <w:r>
        <w:t>Automotive issue classification</w:t>
      </w:r>
    </w:p>
    <w:p>
      <w:pPr>
        <w:pStyle w:val="ListNumber"/>
        <w:spacing w:after="80"/>
      </w:pPr>
      <w:r>
        <w:t>Urgency scoring</w:t>
      </w:r>
    </w:p>
    <w:p>
      <w:r>
        <w:t>For the prototype, AI results may come from an LLM/NLP provider, deterministic rules, or a hybrid approach depending on data availability and demo reliability.</w:t>
      </w:r>
    </w:p>
    <w:p>
      <w:pPr>
        <w:pStyle w:val="Heading2"/>
      </w:pPr>
      <w:r>
        <w:t>6.3 Automotive Intelligence</w:t>
      </w:r>
    </w:p>
    <w:p>
      <w:r>
        <w:t>Business logic should be implemented separately from the NLP service. This layer converts processed feedback into automotive aftersales insights.</w:t>
      </w:r>
    </w:p>
    <w:p>
      <w:r>
        <w:t>Key capabilities:</w:t>
      </w:r>
    </w:p>
    <w:p>
      <w:pPr>
        <w:pStyle w:val="ListBullet"/>
        <w:spacing w:after="80"/>
      </w:pPr>
      <w:r>
        <w:t>Issue classification by automotive topic</w:t>
      </w:r>
    </w:p>
    <w:p>
      <w:pPr>
        <w:pStyle w:val="ListBullet"/>
        <w:spacing w:after="80"/>
      </w:pPr>
      <w:r>
        <w:t>Repeat complaint detection within a configurable lookback window</w:t>
      </w:r>
    </w:p>
    <w:p>
      <w:pPr>
        <w:pStyle w:val="ListBullet"/>
        <w:spacing w:after="80"/>
      </w:pPr>
      <w:r>
        <w:t>Churn risk scoring</w:t>
      </w:r>
    </w:p>
    <w:p>
      <w:pPr>
        <w:pStyle w:val="ListBullet"/>
        <w:spacing w:after="80"/>
      </w:pPr>
      <w:r>
        <w:t>Warranty signal detection</w:t>
      </w:r>
    </w:p>
    <w:p>
      <w:pPr>
        <w:pStyle w:val="ListBullet"/>
        <w:spacing w:after="80"/>
      </w:pPr>
      <w:r>
        <w:t>Dealer benchmarking</w:t>
      </w:r>
    </w:p>
    <w:p>
      <w:pPr>
        <w:pStyle w:val="ListBullet"/>
        <w:spacing w:after="80"/>
      </w:pPr>
      <w:r>
        <w:t>Critical feedback identification</w:t>
      </w:r>
    </w:p>
    <w:p>
      <w:pPr>
        <w:pStyle w:val="Heading2"/>
      </w:pPr>
      <w:r>
        <w:t>6.4 Action Layer</w:t>
      </w:r>
    </w:p>
    <w:p>
      <w:r>
        <w:t>The action layer will be mocked for the prototype.</w:t>
      </w:r>
    </w:p>
    <w:p>
      <w:r>
        <w:t>Supported flows:</w:t>
      </w:r>
    </w:p>
    <w:p>
      <w:pPr>
        <w:pStyle w:val="ListBullet"/>
        <w:spacing w:after="80"/>
      </w:pPr>
      <w:r>
        <w:t>Create mock CRM recovery tasks for critical feedback.</w:t>
      </w:r>
    </w:p>
    <w:p>
      <w:pPr>
        <w:pStyle w:val="ListBullet"/>
        <w:spacing w:after="80"/>
      </w:pPr>
      <w:r>
        <w:t>Generate LLM-assisted dealer response drafts.</w:t>
      </w:r>
    </w:p>
    <w:p>
      <w:pPr>
        <w:pStyle w:val="ListBullet"/>
        <w:spacing w:after="80"/>
      </w:pPr>
      <w:r>
        <w:t>Create mock warranty escalation reports for quality/warranty signals.</w:t>
      </w:r>
    </w:p>
    <w:p>
      <w:pPr>
        <w:pStyle w:val="ListBullet"/>
        <w:spacing w:after="80"/>
      </w:pPr>
      <w:r>
        <w:t>Track human review items for low-confidence classifications.</w:t>
      </w:r>
    </w:p>
    <w:p>
      <w:r>
        <w:t>No live CRM, warranty, dealer portal, or notification integration is required for the prototype.</w:t>
      </w:r>
    </w:p>
    <w:p>
      <w:pPr>
        <w:pStyle w:val="Heading2"/>
      </w:pPr>
      <w:r>
        <w:t>6.5 Dashboards and Screens</w:t>
      </w:r>
    </w:p>
    <w:p>
      <w:r>
        <w:t>The frontend should support the planned stakeholder validation screens:</w:t>
      </w:r>
    </w:p>
    <w:p>
      <w:pPr>
        <w:pStyle w:val="ListBullet"/>
        <w:spacing w:after="80"/>
      </w:pPr>
      <w:r>
        <w:t>OEM executive dashboard</w:t>
      </w:r>
    </w:p>
    <w:p>
      <w:pPr>
        <w:pStyle w:val="ListBullet"/>
        <w:spacing w:after="80"/>
      </w:pPr>
      <w:r>
        <w:t>Dealer performance dashboard</w:t>
      </w:r>
    </w:p>
    <w:p>
      <w:pPr>
        <w:pStyle w:val="ListBullet"/>
        <w:spacing w:after="80"/>
      </w:pPr>
      <w:r>
        <w:t>Feedback explorer</w:t>
      </w:r>
    </w:p>
    <w:p>
      <w:pPr>
        <w:pStyle w:val="ListBullet"/>
        <w:spacing w:after="80"/>
      </w:pPr>
      <w:r>
        <w:t>Customer detail / complaint history</w:t>
      </w:r>
    </w:p>
    <w:p>
      <w:pPr>
        <w:pStyle w:val="ListBullet"/>
        <w:spacing w:after="80"/>
      </w:pPr>
      <w:r>
        <w:t>Issue and sentiment analytics</w:t>
      </w:r>
    </w:p>
    <w:p>
      <w:pPr>
        <w:pStyle w:val="ListBullet"/>
        <w:spacing w:after="80"/>
      </w:pPr>
      <w:r>
        <w:t>Warranty signal dashboard</w:t>
      </w:r>
    </w:p>
    <w:p>
      <w:pPr>
        <w:pStyle w:val="ListBullet"/>
        <w:spacing w:after="80"/>
      </w:pPr>
      <w:r>
        <w:t>CRM recovery task view</w:t>
      </w:r>
    </w:p>
    <w:p>
      <w:pPr>
        <w:pStyle w:val="ListBullet"/>
        <w:spacing w:after="80"/>
      </w:pPr>
      <w:r>
        <w:t>Human review queue</w:t>
      </w:r>
    </w:p>
    <w:p>
      <w:r>
        <w:t>The first version may use seeded metrics and progressively connect screens to backend APIs as the data model stabilizes.</w:t>
      </w:r>
    </w:p>
    <w:p>
      <w:pPr>
        <w:pStyle w:val="Heading1"/>
      </w:pPr>
      <w:r>
        <w:t>7. Database Architecture</w:t>
      </w:r>
    </w:p>
    <w:p>
      <w:r>
        <w:t>PostgreSQL will be the system of record for prototype data. Prisma will manage schema definition and typed database access.</w:t>
      </w:r>
    </w:p>
    <w:p>
      <w:r>
        <w:t>Core tables should include:</w:t>
      </w:r>
    </w:p>
    <w:tbl>
      <w:tblPr>
        <w:tblStyle w:val="TableGrid"/>
        <w:tblW w:type="dxa" w:w="936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664"/>
            <w:vAlign w:val="center"/>
            <w:shd w:fill="F2F4F7"/>
          </w:tcPr>
          <w:p>
            <w:pPr>
              <w:spacing w:after="0"/>
            </w:pPr>
            <w:r>
              <w:rPr>
                <w:rFonts w:ascii="Calibri" w:hAnsi="Calibri"/>
                <w:b/>
                <w:sz w:val="20"/>
              </w:rPr>
              <w:t>Table</w:t>
            </w:r>
          </w:p>
        </w:tc>
        <w:tc>
          <w:tcPr>
            <w:tcW w:type="dxa" w:w="6696"/>
            <w:vAlign w:val="center"/>
            <w:shd w:fill="F2F4F7"/>
          </w:tcPr>
          <w:p>
            <w:pPr>
              <w:spacing w:after="0"/>
            </w:pPr>
            <w:r>
              <w:rPr>
                <w:rFonts w:ascii="Calibri" w:hAnsi="Calibri"/>
                <w:b/>
                <w:sz w:val="20"/>
              </w:rPr>
              <w:t>Purpose</w:t>
            </w:r>
          </w:p>
        </w:tc>
      </w:tr>
      <w:tr>
        <w:tc>
          <w:tcPr>
            <w:tcW w:type="dxa" w:w="2664"/>
            <w:vAlign w:val="center"/>
          </w:tcPr>
          <w:p>
            <w:pPr>
              <w:spacing w:after="0"/>
            </w:pPr>
            <w:r>
              <w:rPr>
                <w:rFonts w:ascii="Calibri" w:hAnsi="Calibri"/>
                <w:sz w:val="20"/>
              </w:rPr>
              <w:t>customers</w:t>
            </w:r>
          </w:p>
        </w:tc>
        <w:tc>
          <w:tcPr>
            <w:tcW w:type="dxa" w:w="6696"/>
            <w:vAlign w:val="center"/>
          </w:tcPr>
          <w:p>
            <w:pPr>
              <w:spacing w:after="0"/>
            </w:pPr>
            <w:r>
              <w:rPr>
                <w:rFonts w:ascii="Calibri" w:hAnsi="Calibri"/>
                <w:sz w:val="20"/>
              </w:rPr>
              <w:t>Customer profile and masked identifiers</w:t>
            </w:r>
          </w:p>
        </w:tc>
      </w:tr>
      <w:tr>
        <w:tc>
          <w:tcPr>
            <w:tcW w:type="dxa" w:w="2664"/>
            <w:vAlign w:val="center"/>
          </w:tcPr>
          <w:p>
            <w:pPr>
              <w:spacing w:after="0"/>
            </w:pPr>
            <w:r>
              <w:rPr>
                <w:rFonts w:ascii="Calibri" w:hAnsi="Calibri"/>
                <w:sz w:val="20"/>
              </w:rPr>
              <w:t>vehicles</w:t>
            </w:r>
          </w:p>
        </w:tc>
        <w:tc>
          <w:tcPr>
            <w:tcW w:type="dxa" w:w="6696"/>
            <w:vAlign w:val="center"/>
          </w:tcPr>
          <w:p>
            <w:pPr>
              <w:spacing w:after="0"/>
            </w:pPr>
            <w:r>
              <w:rPr>
                <w:rFonts w:ascii="Calibri" w:hAnsi="Calibri"/>
                <w:sz w:val="20"/>
              </w:rPr>
              <w:t>Vehicle information linked to customers</w:t>
            </w:r>
          </w:p>
        </w:tc>
      </w:tr>
      <w:tr>
        <w:tc>
          <w:tcPr>
            <w:tcW w:type="dxa" w:w="2664"/>
            <w:vAlign w:val="center"/>
          </w:tcPr>
          <w:p>
            <w:pPr>
              <w:spacing w:after="0"/>
            </w:pPr>
            <w:r>
              <w:rPr>
                <w:rFonts w:ascii="Calibri" w:hAnsi="Calibri"/>
                <w:sz w:val="20"/>
              </w:rPr>
              <w:t>dealers</w:t>
            </w:r>
          </w:p>
        </w:tc>
        <w:tc>
          <w:tcPr>
            <w:tcW w:type="dxa" w:w="6696"/>
            <w:vAlign w:val="center"/>
          </w:tcPr>
          <w:p>
            <w:pPr>
              <w:spacing w:after="0"/>
            </w:pPr>
            <w:r>
              <w:rPr>
                <w:rFonts w:ascii="Calibri" w:hAnsi="Calibri"/>
                <w:sz w:val="20"/>
              </w:rPr>
              <w:t>Dealer master data</w:t>
            </w:r>
          </w:p>
        </w:tc>
      </w:tr>
      <w:tr>
        <w:tc>
          <w:tcPr>
            <w:tcW w:type="dxa" w:w="2664"/>
            <w:vAlign w:val="center"/>
          </w:tcPr>
          <w:p>
            <w:pPr>
              <w:spacing w:after="0"/>
            </w:pPr>
            <w:r>
              <w:rPr>
                <w:rFonts w:ascii="Calibri" w:hAnsi="Calibri"/>
                <w:sz w:val="20"/>
              </w:rPr>
              <w:t>job_cards</w:t>
            </w:r>
          </w:p>
        </w:tc>
        <w:tc>
          <w:tcPr>
            <w:tcW w:type="dxa" w:w="6696"/>
            <w:vAlign w:val="center"/>
          </w:tcPr>
          <w:p>
            <w:pPr>
              <w:spacing w:after="0"/>
            </w:pPr>
            <w:r>
              <w:rPr>
                <w:rFonts w:ascii="Calibri" w:hAnsi="Calibri"/>
                <w:sz w:val="20"/>
              </w:rPr>
              <w:t>Service visit and technician note data</w:t>
            </w:r>
          </w:p>
        </w:tc>
      </w:tr>
      <w:tr>
        <w:tc>
          <w:tcPr>
            <w:tcW w:type="dxa" w:w="2664"/>
            <w:vAlign w:val="center"/>
          </w:tcPr>
          <w:p>
            <w:pPr>
              <w:spacing w:after="0"/>
            </w:pPr>
            <w:r>
              <w:rPr>
                <w:rFonts w:ascii="Calibri" w:hAnsi="Calibri"/>
                <w:sz w:val="20"/>
              </w:rPr>
              <w:t>warranty_claims</w:t>
            </w:r>
          </w:p>
        </w:tc>
        <w:tc>
          <w:tcPr>
            <w:tcW w:type="dxa" w:w="6696"/>
            <w:vAlign w:val="center"/>
          </w:tcPr>
          <w:p>
            <w:pPr>
              <w:spacing w:after="0"/>
            </w:pPr>
            <w:r>
              <w:rPr>
                <w:rFonts w:ascii="Calibri" w:hAnsi="Calibri"/>
                <w:sz w:val="20"/>
              </w:rPr>
              <w:t>Warranty claim source records</w:t>
            </w:r>
          </w:p>
        </w:tc>
      </w:tr>
      <w:tr>
        <w:tc>
          <w:tcPr>
            <w:tcW w:type="dxa" w:w="2664"/>
            <w:vAlign w:val="center"/>
          </w:tcPr>
          <w:p>
            <w:pPr>
              <w:spacing w:after="0"/>
            </w:pPr>
            <w:r>
              <w:rPr>
                <w:rFonts w:ascii="Calibri" w:hAnsi="Calibri"/>
                <w:sz w:val="20"/>
              </w:rPr>
              <w:t>feedback_records</w:t>
            </w:r>
          </w:p>
        </w:tc>
        <w:tc>
          <w:tcPr>
            <w:tcW w:type="dxa" w:w="6696"/>
            <w:vAlign w:val="center"/>
          </w:tcPr>
          <w:p>
            <w:pPr>
              <w:spacing w:after="0"/>
            </w:pPr>
            <w:r>
              <w:rPr>
                <w:rFonts w:ascii="Calibri" w:hAnsi="Calibri"/>
                <w:sz w:val="20"/>
              </w:rPr>
              <w:t>Unified VoC feedback records from all sources</w:t>
            </w:r>
          </w:p>
        </w:tc>
      </w:tr>
      <w:tr>
        <w:tc>
          <w:tcPr>
            <w:tcW w:type="dxa" w:w="2664"/>
            <w:vAlign w:val="center"/>
          </w:tcPr>
          <w:p>
            <w:pPr>
              <w:spacing w:after="0"/>
            </w:pPr>
            <w:r>
              <w:rPr>
                <w:rFonts w:ascii="Calibri" w:hAnsi="Calibri"/>
                <w:sz w:val="20"/>
              </w:rPr>
              <w:t>nlp_results</w:t>
            </w:r>
          </w:p>
        </w:tc>
        <w:tc>
          <w:tcPr>
            <w:tcW w:type="dxa" w:w="6696"/>
            <w:vAlign w:val="center"/>
          </w:tcPr>
          <w:p>
            <w:pPr>
              <w:spacing w:after="0"/>
            </w:pPr>
            <w:r>
              <w:rPr>
                <w:rFonts w:ascii="Calibri" w:hAnsi="Calibri"/>
                <w:sz w:val="20"/>
              </w:rPr>
              <w:t>Language, translation, sentiment, topics, and entities</w:t>
            </w:r>
          </w:p>
        </w:tc>
      </w:tr>
      <w:tr>
        <w:tc>
          <w:tcPr>
            <w:tcW w:type="dxa" w:w="2664"/>
            <w:vAlign w:val="center"/>
          </w:tcPr>
          <w:p>
            <w:pPr>
              <w:spacing w:after="0"/>
            </w:pPr>
            <w:r>
              <w:rPr>
                <w:rFonts w:ascii="Calibri" w:hAnsi="Calibri"/>
                <w:sz w:val="20"/>
              </w:rPr>
              <w:t>issue_classifications</w:t>
            </w:r>
          </w:p>
        </w:tc>
        <w:tc>
          <w:tcPr>
            <w:tcW w:type="dxa" w:w="6696"/>
            <w:vAlign w:val="center"/>
          </w:tcPr>
          <w:p>
            <w:pPr>
              <w:spacing w:after="0"/>
            </w:pPr>
            <w:r>
              <w:rPr>
                <w:rFonts w:ascii="Calibri" w:hAnsi="Calibri"/>
                <w:sz w:val="20"/>
              </w:rPr>
              <w:t>Automotive issue categories and confidence</w:t>
            </w:r>
          </w:p>
        </w:tc>
      </w:tr>
      <w:tr>
        <w:tc>
          <w:tcPr>
            <w:tcW w:type="dxa" w:w="2664"/>
            <w:vAlign w:val="center"/>
          </w:tcPr>
          <w:p>
            <w:pPr>
              <w:spacing w:after="0"/>
            </w:pPr>
            <w:r>
              <w:rPr>
                <w:rFonts w:ascii="Calibri" w:hAnsi="Calibri"/>
                <w:sz w:val="20"/>
              </w:rPr>
              <w:t>churn_scores</w:t>
            </w:r>
          </w:p>
        </w:tc>
        <w:tc>
          <w:tcPr>
            <w:tcW w:type="dxa" w:w="6696"/>
            <w:vAlign w:val="center"/>
          </w:tcPr>
          <w:p>
            <w:pPr>
              <w:spacing w:after="0"/>
            </w:pPr>
            <w:r>
              <w:rPr>
                <w:rFonts w:ascii="Calibri" w:hAnsi="Calibri"/>
                <w:sz w:val="20"/>
              </w:rPr>
              <w:t>Customer churn risk scores and contributing factors</w:t>
            </w:r>
          </w:p>
        </w:tc>
      </w:tr>
      <w:tr>
        <w:tc>
          <w:tcPr>
            <w:tcW w:type="dxa" w:w="2664"/>
            <w:vAlign w:val="center"/>
          </w:tcPr>
          <w:p>
            <w:pPr>
              <w:spacing w:after="0"/>
            </w:pPr>
            <w:r>
              <w:rPr>
                <w:rFonts w:ascii="Calibri" w:hAnsi="Calibri"/>
                <w:sz w:val="20"/>
              </w:rPr>
              <w:t>dealer_scores</w:t>
            </w:r>
          </w:p>
        </w:tc>
        <w:tc>
          <w:tcPr>
            <w:tcW w:type="dxa" w:w="6696"/>
            <w:vAlign w:val="center"/>
          </w:tcPr>
          <w:p>
            <w:pPr>
              <w:spacing w:after="0"/>
            </w:pPr>
            <w:r>
              <w:rPr>
                <w:rFonts w:ascii="Calibri" w:hAnsi="Calibri"/>
                <w:sz w:val="20"/>
              </w:rPr>
              <w:t>Dealer-level performance metrics</w:t>
            </w:r>
          </w:p>
        </w:tc>
      </w:tr>
      <w:tr>
        <w:tc>
          <w:tcPr>
            <w:tcW w:type="dxa" w:w="2664"/>
            <w:vAlign w:val="center"/>
          </w:tcPr>
          <w:p>
            <w:pPr>
              <w:spacing w:after="0"/>
            </w:pPr>
            <w:r>
              <w:rPr>
                <w:rFonts w:ascii="Calibri" w:hAnsi="Calibri"/>
                <w:sz w:val="20"/>
              </w:rPr>
              <w:t>warranty_signals</w:t>
            </w:r>
          </w:p>
        </w:tc>
        <w:tc>
          <w:tcPr>
            <w:tcW w:type="dxa" w:w="6696"/>
            <w:vAlign w:val="center"/>
          </w:tcPr>
          <w:p>
            <w:pPr>
              <w:spacing w:after="0"/>
            </w:pPr>
            <w:r>
              <w:rPr>
                <w:rFonts w:ascii="Calibri" w:hAnsi="Calibri"/>
                <w:sz w:val="20"/>
              </w:rPr>
              <w:t>Potential quality/warranty escalation signals</w:t>
            </w:r>
          </w:p>
        </w:tc>
      </w:tr>
      <w:tr>
        <w:tc>
          <w:tcPr>
            <w:tcW w:type="dxa" w:w="2664"/>
            <w:vAlign w:val="center"/>
          </w:tcPr>
          <w:p>
            <w:pPr>
              <w:spacing w:after="0"/>
            </w:pPr>
            <w:r>
              <w:rPr>
                <w:rFonts w:ascii="Calibri" w:hAnsi="Calibri"/>
                <w:sz w:val="20"/>
              </w:rPr>
              <w:t>crm_tasks</w:t>
            </w:r>
          </w:p>
        </w:tc>
        <w:tc>
          <w:tcPr>
            <w:tcW w:type="dxa" w:w="6696"/>
            <w:vAlign w:val="center"/>
          </w:tcPr>
          <w:p>
            <w:pPr>
              <w:spacing w:after="0"/>
            </w:pPr>
            <w:r>
              <w:rPr>
                <w:rFonts w:ascii="Calibri" w:hAnsi="Calibri"/>
                <w:sz w:val="20"/>
              </w:rPr>
              <w:t>Mock service recovery tasks</w:t>
            </w:r>
          </w:p>
        </w:tc>
      </w:tr>
      <w:tr>
        <w:tc>
          <w:tcPr>
            <w:tcW w:type="dxa" w:w="2664"/>
            <w:vAlign w:val="center"/>
          </w:tcPr>
          <w:p>
            <w:pPr>
              <w:spacing w:after="0"/>
            </w:pPr>
            <w:r>
              <w:rPr>
                <w:rFonts w:ascii="Calibri" w:hAnsi="Calibri"/>
                <w:sz w:val="20"/>
              </w:rPr>
              <w:t>human_review_queue</w:t>
            </w:r>
          </w:p>
        </w:tc>
        <w:tc>
          <w:tcPr>
            <w:tcW w:type="dxa" w:w="6696"/>
            <w:vAlign w:val="center"/>
          </w:tcPr>
          <w:p>
            <w:pPr>
              <w:spacing w:after="0"/>
            </w:pPr>
            <w:r>
              <w:rPr>
                <w:rFonts w:ascii="Calibri" w:hAnsi="Calibri"/>
                <w:sz w:val="20"/>
              </w:rPr>
              <w:t>Items needing manual review or correction</w:t>
            </w:r>
          </w:p>
        </w:tc>
      </w:tr>
    </w:tbl>
    <w:p>
      <w:pPr>
        <w:spacing w:after="40"/>
      </w:pPr>
    </w:p>
    <w:p>
      <w:pPr>
        <w:pStyle w:val="Heading1"/>
      </w:pPr>
      <w:r/>
      <w:r>
        <w:t>8. API Architecture</w:t>
      </w:r>
    </w:p>
    <w:p>
      <w:r>
        <w:t>The backend should expose REST APIs grouped by domain:</w:t>
      </w:r>
    </w:p>
    <w:tbl>
      <w:tblPr>
        <w:tblStyle w:val="TableGrid"/>
        <w:tblW w:type="dxa" w:w="936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664"/>
            <w:vAlign w:val="center"/>
            <w:shd w:fill="F2F4F7"/>
          </w:tcPr>
          <w:p>
            <w:pPr>
              <w:spacing w:after="0"/>
            </w:pPr>
            <w:r>
              <w:rPr>
                <w:rFonts w:ascii="Calibri" w:hAnsi="Calibri"/>
                <w:b/>
                <w:sz w:val="20"/>
              </w:rPr>
              <w:t>API Area</w:t>
            </w:r>
          </w:p>
        </w:tc>
        <w:tc>
          <w:tcPr>
            <w:tcW w:type="dxa" w:w="6696"/>
            <w:vAlign w:val="center"/>
            <w:shd w:fill="F2F4F7"/>
          </w:tcPr>
          <w:p>
            <w:pPr>
              <w:spacing w:after="0"/>
            </w:pPr>
            <w:r>
              <w:rPr>
                <w:rFonts w:ascii="Calibri" w:hAnsi="Calibri"/>
                <w:b/>
                <w:sz w:val="20"/>
              </w:rPr>
              <w:t>Example Routes</w:t>
            </w:r>
          </w:p>
        </w:tc>
      </w:tr>
      <w:tr>
        <w:tc>
          <w:tcPr>
            <w:tcW w:type="dxa" w:w="2664"/>
            <w:vAlign w:val="center"/>
          </w:tcPr>
          <w:p>
            <w:pPr>
              <w:spacing w:after="0"/>
            </w:pPr>
            <w:r>
              <w:rPr>
                <w:rFonts w:ascii="Calibri" w:hAnsi="Calibri"/>
                <w:sz w:val="20"/>
              </w:rPr>
              <w:t>Health</w:t>
            </w:r>
          </w:p>
        </w:tc>
        <w:tc>
          <w:tcPr>
            <w:tcW w:type="dxa" w:w="6696"/>
            <w:vAlign w:val="center"/>
          </w:tcPr>
          <w:p>
            <w:r>
              <w:t>GET /api/v1/health</w:t>
            </w:r>
          </w:p>
        </w:tc>
      </w:tr>
      <w:tr>
        <w:tc>
          <w:tcPr>
            <w:tcW w:type="dxa" w:w="2664"/>
            <w:vAlign w:val="center"/>
          </w:tcPr>
          <w:p>
            <w:pPr>
              <w:spacing w:after="0"/>
            </w:pPr>
            <w:r>
              <w:rPr>
                <w:rFonts w:ascii="Calibri" w:hAnsi="Calibri"/>
                <w:sz w:val="20"/>
              </w:rPr>
              <w:t>Uploads</w:t>
            </w:r>
          </w:p>
        </w:tc>
        <w:tc>
          <w:tcPr>
            <w:tcW w:type="dxa" w:w="6696"/>
            <w:vAlign w:val="center"/>
          </w:tcPr>
          <w:p>
            <w:r>
              <w:t>POST /api/v1/uploads/feedback</w:t>
            </w:r>
          </w:p>
        </w:tc>
      </w:tr>
      <w:tr>
        <w:tc>
          <w:tcPr>
            <w:tcW w:type="dxa" w:w="2664"/>
            <w:vAlign w:val="center"/>
          </w:tcPr>
          <w:p>
            <w:pPr>
              <w:spacing w:after="0"/>
            </w:pPr>
            <w:r>
              <w:rPr>
                <w:rFonts w:ascii="Calibri" w:hAnsi="Calibri"/>
                <w:sz w:val="20"/>
              </w:rPr>
              <w:t>Feedback</w:t>
            </w:r>
          </w:p>
        </w:tc>
        <w:tc>
          <w:tcPr>
            <w:tcW w:type="dxa" w:w="6696"/>
            <w:vAlign w:val="center"/>
          </w:tcPr>
          <w:p>
            <w:r>
              <w:t>GET /api/v1/feedback, GET /api/v1/feedback/:id</w:t>
            </w:r>
          </w:p>
        </w:tc>
      </w:tr>
      <w:tr>
        <w:tc>
          <w:tcPr>
            <w:tcW w:type="dxa" w:w="2664"/>
            <w:vAlign w:val="center"/>
          </w:tcPr>
          <w:p>
            <w:pPr>
              <w:spacing w:after="0"/>
            </w:pPr>
            <w:r>
              <w:rPr>
                <w:rFonts w:ascii="Calibri" w:hAnsi="Calibri"/>
                <w:sz w:val="20"/>
              </w:rPr>
              <w:t>NLP Processing</w:t>
            </w:r>
          </w:p>
        </w:tc>
        <w:tc>
          <w:tcPr>
            <w:tcW w:type="dxa" w:w="6696"/>
            <w:vAlign w:val="center"/>
          </w:tcPr>
          <w:p>
            <w:r>
              <w:t>POST /api/v1/feedback/:id/process, POST /api/v1/processing/run</w:t>
            </w:r>
          </w:p>
        </w:tc>
      </w:tr>
      <w:tr>
        <w:tc>
          <w:tcPr>
            <w:tcW w:type="dxa" w:w="2664"/>
            <w:vAlign w:val="center"/>
          </w:tcPr>
          <w:p>
            <w:pPr>
              <w:spacing w:after="0"/>
            </w:pPr>
            <w:r>
              <w:rPr>
                <w:rFonts w:ascii="Calibri" w:hAnsi="Calibri"/>
                <w:sz w:val="20"/>
              </w:rPr>
              <w:t>Dashboards</w:t>
            </w:r>
          </w:p>
        </w:tc>
        <w:tc>
          <w:tcPr>
            <w:tcW w:type="dxa" w:w="6696"/>
            <w:vAlign w:val="center"/>
          </w:tcPr>
          <w:p>
            <w:r>
              <w:t>GET /api/v1/dashboards/oem, GET /api/v1/dashboards/dealer/:dealerId</w:t>
            </w:r>
          </w:p>
        </w:tc>
      </w:tr>
      <w:tr>
        <w:tc>
          <w:tcPr>
            <w:tcW w:type="dxa" w:w="2664"/>
            <w:vAlign w:val="center"/>
          </w:tcPr>
          <w:p>
            <w:pPr>
              <w:spacing w:after="0"/>
            </w:pPr>
            <w:r>
              <w:rPr>
                <w:rFonts w:ascii="Calibri" w:hAnsi="Calibri"/>
                <w:sz w:val="20"/>
              </w:rPr>
              <w:t>Dealers</w:t>
            </w:r>
          </w:p>
        </w:tc>
        <w:tc>
          <w:tcPr>
            <w:tcW w:type="dxa" w:w="6696"/>
            <w:vAlign w:val="center"/>
          </w:tcPr>
          <w:p>
            <w:r>
              <w:t>GET /api/v1/dealers, GET /api/v1/dealers/:id/scorecard</w:t>
            </w:r>
          </w:p>
        </w:tc>
      </w:tr>
      <w:tr>
        <w:tc>
          <w:tcPr>
            <w:tcW w:type="dxa" w:w="2664"/>
            <w:vAlign w:val="center"/>
          </w:tcPr>
          <w:p>
            <w:pPr>
              <w:spacing w:after="0"/>
            </w:pPr>
            <w:r>
              <w:rPr>
                <w:rFonts w:ascii="Calibri" w:hAnsi="Calibri"/>
                <w:sz w:val="20"/>
              </w:rPr>
              <w:t>Warranty Signals</w:t>
            </w:r>
          </w:p>
        </w:tc>
        <w:tc>
          <w:tcPr>
            <w:tcW w:type="dxa" w:w="6696"/>
            <w:vAlign w:val="center"/>
          </w:tcPr>
          <w:p>
            <w:r>
              <w:t>GET /api/v1/warranty-signals, POST /api/v1/warranty-signals/:id/escalate</w:t>
            </w:r>
          </w:p>
        </w:tc>
      </w:tr>
      <w:tr>
        <w:tc>
          <w:tcPr>
            <w:tcW w:type="dxa" w:w="2664"/>
            <w:vAlign w:val="center"/>
          </w:tcPr>
          <w:p>
            <w:pPr>
              <w:spacing w:after="0"/>
            </w:pPr>
            <w:r>
              <w:rPr>
                <w:rFonts w:ascii="Calibri" w:hAnsi="Calibri"/>
                <w:sz w:val="20"/>
              </w:rPr>
              <w:t>CRM Tasks</w:t>
            </w:r>
          </w:p>
        </w:tc>
        <w:tc>
          <w:tcPr>
            <w:tcW w:type="dxa" w:w="6696"/>
            <w:vAlign w:val="center"/>
          </w:tcPr>
          <w:p>
            <w:r>
              <w:t>GET /api/v1/crm-tasks, POST /api/v1/crm-tasks/:id/close</w:t>
            </w:r>
          </w:p>
        </w:tc>
      </w:tr>
      <w:tr>
        <w:tc>
          <w:tcPr>
            <w:tcW w:type="dxa" w:w="2664"/>
            <w:vAlign w:val="center"/>
          </w:tcPr>
          <w:p>
            <w:pPr>
              <w:spacing w:after="0"/>
            </w:pPr>
            <w:r>
              <w:rPr>
                <w:rFonts w:ascii="Calibri" w:hAnsi="Calibri"/>
                <w:sz w:val="20"/>
              </w:rPr>
              <w:t>Human Review</w:t>
            </w:r>
          </w:p>
        </w:tc>
        <w:tc>
          <w:tcPr>
            <w:tcW w:type="dxa" w:w="6696"/>
            <w:vAlign w:val="center"/>
          </w:tcPr>
          <w:p>
            <w:r>
              <w:t>GET /api/v1/review-queue, POST /api/v1/review-queue/:id/resolve</w:t>
            </w:r>
          </w:p>
        </w:tc>
      </w:tr>
    </w:tbl>
    <w:p>
      <w:pPr>
        <w:spacing w:after="40"/>
      </w:pPr>
    </w:p>
    <w:p>
      <w:pPr>
        <w:pStyle w:val="Heading1"/>
      </w:pPr>
      <w:r/>
      <w:r>
        <w:t>9. Security and Access Control</w:t>
      </w:r>
    </w:p>
    <w:p>
      <w:r>
        <w:t>Prototype security should be lightweight but explicit.</w:t>
      </w:r>
    </w:p>
    <w:p>
      <w:r>
        <w:t>Roles:</w:t>
      </w:r>
    </w:p>
    <w:p>
      <w:pPr>
        <w:pStyle w:val="ListBullet"/>
        <w:spacing w:after="80"/>
      </w:pPr>
      <w:r>
        <w:rPr>
          <w:rFonts w:ascii="Consolas" w:hAnsi="Consolas"/>
          <w:sz w:val="19"/>
        </w:rPr>
        <w:t>admin</w:t>
      </w:r>
      <w:r>
        <w:t>: Full prototype access</w:t>
      </w:r>
    </w:p>
    <w:p>
      <w:pPr>
        <w:pStyle w:val="ListBullet"/>
        <w:spacing w:after="80"/>
      </w:pPr>
      <w:r>
        <w:rPr>
          <w:rFonts w:ascii="Consolas" w:hAnsi="Consolas"/>
          <w:sz w:val="19"/>
        </w:rPr>
        <w:t>oem_user</w:t>
      </w:r>
      <w:r>
        <w:t>: OEM dashboards, all dealers, warranty signals, analytics</w:t>
      </w:r>
    </w:p>
    <w:p>
      <w:pPr>
        <w:pStyle w:val="ListBullet"/>
        <w:spacing w:after="80"/>
      </w:pPr>
      <w:r>
        <w:rPr>
          <w:rFonts w:ascii="Consolas" w:hAnsi="Consolas"/>
          <w:sz w:val="19"/>
        </w:rPr>
        <w:t>dealer_user</w:t>
      </w:r>
      <w:r>
        <w:t>: Assigned dealer dashboards, feedback, and CRM recovery tasks</w:t>
      </w:r>
    </w:p>
    <w:p>
      <w:pPr>
        <w:pStyle w:val="ListBullet"/>
        <w:spacing w:after="80"/>
      </w:pPr>
      <w:r>
        <w:rPr>
          <w:rFonts w:ascii="Consolas" w:hAnsi="Consolas"/>
          <w:sz w:val="19"/>
        </w:rPr>
        <w:t>reviewer</w:t>
      </w:r>
      <w:r>
        <w:t>: Human review queue and correction workflows</w:t>
      </w:r>
    </w:p>
    <w:p>
      <w:r>
        <w:t>Prototype authentication can use mocked users, seeded users, or a simple login mechanism. Production identity integration is out of scope for the prototype.</w:t>
      </w:r>
    </w:p>
    <w:p>
      <w:pPr>
        <w:pStyle w:val="Heading1"/>
      </w:pPr>
      <w:r/>
      <w:r>
        <w:t>10. Non-Functional Considerations</w:t>
      </w:r>
    </w:p>
    <w:p>
      <w:r>
        <w:t>For the prototype:</w:t>
      </w:r>
    </w:p>
    <w:p>
      <w:pPr>
        <w:pStyle w:val="ListBullet"/>
        <w:spacing w:after="80"/>
      </w:pPr>
      <w:r>
        <w:t>Prioritize demo reliability and explainability.</w:t>
      </w:r>
    </w:p>
    <w:p>
      <w:pPr>
        <w:pStyle w:val="ListBullet"/>
        <w:spacing w:after="80"/>
      </w:pPr>
      <w:r>
        <w:t>Use deterministic fallbacks where AI calls may be unavailable.</w:t>
      </w:r>
    </w:p>
    <w:p>
      <w:pPr>
        <w:pStyle w:val="ListBullet"/>
        <w:spacing w:after="80"/>
      </w:pPr>
      <w:r>
        <w:t>Keep uploaded sample datasets small enough for local or lightweight hosted environments.</w:t>
      </w:r>
    </w:p>
    <w:p>
      <w:pPr>
        <w:pStyle w:val="ListBullet"/>
        <w:spacing w:after="80"/>
      </w:pPr>
      <w:r>
        <w:t>Log processing decisions for traceability.</w:t>
      </w:r>
    </w:p>
    <w:p>
      <w:pPr>
        <w:pStyle w:val="ListBullet"/>
        <w:spacing w:after="80"/>
      </w:pPr>
      <w:r>
        <w:t>Avoid storing unnecessary PII in processed fields.</w:t>
      </w:r>
    </w:p>
    <w:p>
      <w:pPr>
        <w:pStyle w:val="ListBullet"/>
        <w:spacing w:after="80"/>
      </w:pPr>
      <w:r>
        <w:t>Keep threshold values configurable.</w:t>
      </w:r>
    </w:p>
    <w:p>
      <w:r>
        <w:t>Productionization considerations:</w:t>
      </w:r>
    </w:p>
    <w:p>
      <w:pPr>
        <w:pStyle w:val="ListBullet"/>
        <w:spacing w:after="80"/>
      </w:pPr>
      <w:r>
        <w:t>India hosting and data residency validation</w:t>
      </w:r>
    </w:p>
    <w:p>
      <w:pPr>
        <w:pStyle w:val="ListBullet"/>
        <w:spacing w:after="80"/>
      </w:pPr>
      <w:r>
        <w:t>Full audit logging</w:t>
      </w:r>
    </w:p>
    <w:p>
      <w:pPr>
        <w:pStyle w:val="ListBullet"/>
        <w:spacing w:after="80"/>
      </w:pPr>
      <w:r>
        <w:t>Production identity provider integration</w:t>
      </w:r>
    </w:p>
    <w:p>
      <w:pPr>
        <w:pStyle w:val="ListBullet"/>
        <w:spacing w:after="80"/>
      </w:pPr>
      <w:r>
        <w:t>Data retention policy</w:t>
      </w:r>
    </w:p>
    <w:p>
      <w:pPr>
        <w:pStyle w:val="ListBullet"/>
        <w:spacing w:after="80"/>
      </w:pPr>
      <w:r>
        <w:t>Observability and alerting</w:t>
      </w:r>
    </w:p>
    <w:p>
      <w:pPr>
        <w:pStyle w:val="ListBullet"/>
        <w:spacing w:after="80"/>
      </w:pPr>
      <w:r>
        <w:t>Scalable async processing</w:t>
      </w:r>
    </w:p>
    <w:p>
      <w:pPr>
        <w:pStyle w:val="ListBullet"/>
        <w:spacing w:after="80"/>
      </w:pPr>
      <w:r>
        <w:t>Model monitoring and human-in-loop retraining</w:t>
      </w:r>
    </w:p>
    <w:p>
      <w:pPr>
        <w:pStyle w:val="Heading1"/>
      </w:pPr>
      <w:r/>
      <w:r>
        <w:t>11. Deployment View</w:t>
      </w:r>
    </w:p>
    <w:p>
      <w:r>
        <w:t>Prototype deployment can run as:</w:t>
      </w:r>
    </w:p>
    <w:p>
      <w:pPr>
        <w:pStyle w:val="ListBullet"/>
        <w:spacing w:after="80"/>
      </w:pPr>
      <w:r>
        <w:t>React frontend served by Vite during development.</w:t>
      </w:r>
    </w:p>
    <w:p>
      <w:pPr>
        <w:pStyle w:val="ListBullet"/>
        <w:spacing w:after="80"/>
      </w:pPr>
      <w:r>
        <w:t>Express backend running as a Node.js process.</w:t>
      </w:r>
    </w:p>
    <w:p>
      <w:pPr>
        <w:pStyle w:val="ListBullet"/>
        <w:spacing w:after="80"/>
      </w:pPr>
      <w:r>
        <w:t>PostgreSQL database running locally, in Docker, or in a hosted development database.</w:t>
      </w:r>
    </w:p>
    <w:p>
      <w:pPr>
        <w:spacing w:before="40" w:after="160"/>
        <w:ind w:left="216"/>
        <w:jc w:val="center"/>
      </w:pPr>
      <w:r>
        <w:drawing>
          <wp:inline xmlns:a="http://schemas.openxmlformats.org/drawingml/2006/main" xmlns:pic="http://schemas.openxmlformats.org/drawingml/2006/picture">
            <wp:extent cx="5897880" cy="2830982"/>
            <wp:docPr id="2" name="Picture 2"/>
            <wp:cNvGraphicFramePr>
              <a:graphicFrameLocks noChangeAspect="1"/>
            </wp:cNvGraphicFramePr>
            <a:graphic>
              <a:graphicData uri="http://schemas.openxmlformats.org/drawingml/2006/picture">
                <pic:pic>
                  <pic:nvPicPr>
                    <pic:cNvPr id="0" name="prototype-deployment-view.png"/>
                    <pic:cNvPicPr/>
                  </pic:nvPicPr>
                  <pic:blipFill>
                    <a:blip r:embed="rId12"/>
                    <a:stretch>
                      <a:fillRect/>
                    </a:stretch>
                  </pic:blipFill>
                  <pic:spPr>
                    <a:xfrm>
                      <a:off x="0" y="0"/>
                      <a:ext cx="5897880" cy="2830982"/>
                    </a:xfrm>
                    <a:prstGeom prst="rect"/>
                  </pic:spPr>
                </pic:pic>
              </a:graphicData>
            </a:graphic>
          </wp:inline>
        </w:drawing>
      </w:r>
    </w:p>
    <w:p>
      <w:pPr>
        <w:pStyle w:val="Heading1"/>
      </w:pPr>
      <w:r/>
      <w:r>
        <w:t>12. Prototype Scope Boundaries</w:t>
      </w:r>
    </w:p>
    <w:p>
      <w:r>
        <w:t>In scope:</w:t>
      </w:r>
    </w:p>
    <w:p>
      <w:pPr>
        <w:pStyle w:val="ListBullet"/>
        <w:spacing w:after="80"/>
      </w:pPr>
      <w:r>
        <w:t>Seeded/uploaded feedback data</w:t>
      </w:r>
    </w:p>
    <w:p>
      <w:pPr>
        <w:pStyle w:val="ListBullet"/>
        <w:spacing w:after="80"/>
      </w:pPr>
      <w:r>
        <w:t>Prototype database schema</w:t>
      </w:r>
    </w:p>
    <w:p>
      <w:pPr>
        <w:pStyle w:val="ListBullet"/>
        <w:spacing w:after="80"/>
      </w:pPr>
      <w:r>
        <w:t>VoC processing pipeline</w:t>
      </w:r>
    </w:p>
    <w:p>
      <w:pPr>
        <w:pStyle w:val="ListBullet"/>
        <w:spacing w:after="80"/>
      </w:pPr>
      <w:r>
        <w:t>Dashboard APIs and UI screens</w:t>
      </w:r>
    </w:p>
    <w:p>
      <w:pPr>
        <w:pStyle w:val="ListBullet"/>
        <w:spacing w:after="80"/>
      </w:pPr>
      <w:r>
        <w:t>Mock CRM and warranty flows</w:t>
      </w:r>
    </w:p>
    <w:p>
      <w:pPr>
        <w:pStyle w:val="ListBullet"/>
        <w:spacing w:after="80"/>
      </w:pPr>
      <w:r>
        <w:t>Configurable scoring rules</w:t>
      </w:r>
    </w:p>
    <w:p>
      <w:r>
        <w:t>Out of scope:</w:t>
      </w:r>
    </w:p>
    <w:p>
      <w:pPr>
        <w:pStyle w:val="ListBullet"/>
        <w:spacing w:after="80"/>
      </w:pPr>
      <w:r>
        <w:t>Live CRM integration</w:t>
      </w:r>
    </w:p>
    <w:p>
      <w:pPr>
        <w:pStyle w:val="ListBullet"/>
        <w:spacing w:after="80"/>
      </w:pPr>
      <w:r>
        <w:t>Live warranty system integration</w:t>
      </w:r>
    </w:p>
    <w:p>
      <w:pPr>
        <w:pStyle w:val="ListBullet"/>
        <w:spacing w:after="80"/>
      </w:pPr>
      <w:r>
        <w:t>Live dealer portal integration</w:t>
      </w:r>
    </w:p>
    <w:p>
      <w:pPr>
        <w:pStyle w:val="ListBullet"/>
        <w:spacing w:after="80"/>
      </w:pPr>
      <w:r>
        <w:t>Production SSO</w:t>
      </w:r>
    </w:p>
    <w:p>
      <w:pPr>
        <w:pStyle w:val="ListBullet"/>
        <w:spacing w:after="80"/>
      </w:pPr>
      <w:r>
        <w:t>Production monitoring and alerting</w:t>
      </w:r>
    </w:p>
    <w:p>
      <w:pPr>
        <w:pStyle w:val="ListBullet"/>
        <w:spacing w:after="80"/>
      </w:pPr>
      <w:r>
        <w:t>Model retraining pipeline</w:t>
      </w:r>
    </w:p>
    <w:p>
      <w:pPr>
        <w:pStyle w:val="ListBullet"/>
        <w:spacing w:after="80"/>
      </w:pPr>
      <w:r>
        <w:t>Compliance certification</w:t>
      </w:r>
    </w:p>
    <w:p>
      <w:pPr>
        <w:pStyle w:val="Heading1"/>
      </w:pPr>
      <w:r/>
      <w:r>
        <w:t>13. Open Technical Decisions</w:t>
      </w:r>
    </w:p>
    <w:p>
      <w:pPr>
        <w:pStyle w:val="ListBullet"/>
        <w:spacing w:after="80"/>
      </w:pPr>
      <w:r>
        <w:t>Exact Sales Forecasting Prism repository conventions to mirror, if stricter than the stack listed here.</w:t>
      </w:r>
    </w:p>
    <w:p>
      <w:pPr>
        <w:pStyle w:val="ListBullet"/>
        <w:spacing w:after="80"/>
      </w:pPr>
      <w:r>
        <w:t>Final automotive issue taxonomy.</w:t>
      </w:r>
    </w:p>
    <w:p>
      <w:pPr>
        <w:pStyle w:val="ListBullet"/>
        <w:spacing w:after="80"/>
      </w:pPr>
      <w:r>
        <w:t>Warranty signal threshold values.</w:t>
      </w:r>
    </w:p>
    <w:p>
      <w:pPr>
        <w:pStyle w:val="ListBullet"/>
        <w:spacing w:after="80"/>
      </w:pPr>
      <w:r>
        <w:t>Whether AI calls are live, mocked, or hybrid for demos.</w:t>
      </w:r>
    </w:p>
    <w:p>
      <w:pPr>
        <w:pStyle w:val="ListBullet"/>
        <w:spacing w:after="80"/>
      </w:pPr>
      <w:r>
        <w:t>Seed dataset size and format.</w:t>
      </w:r>
    </w:p>
    <w:p>
      <w:pPr>
        <w:pStyle w:val="ListBullet"/>
        <w:spacing w:after="80"/>
      </w:pPr>
      <w:r>
        <w:t>Whether local Docker Compose should be included in the prototype setup.</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VoC Technical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 Module Technical Architecture Document</dc:title>
  <dc:subject>Technical architecture for the VoC prototype module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