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BIS Export Control Timeline: Advanced Computing &amp; Semiconductor Manufacturing Equipment (2022-2025)</w:t>
      </w:r>
    </w:p>
    <w:p>
      <w:r>
        <w:rPr>
          <w:i/>
        </w:rPr>
        <w:t>[SOURCE: REAL] U.S. Bureau of Industry and Security (BIS), Federal Register rules and BIS press releases, 2022-2025.</w:t>
      </w:r>
    </w:p>
    <w:p/>
    <w:p>
      <w:r>
        <w:t>On October 7, 2022, BIS issued an interim final rule restricting exports of advanced computing integrated circuits and semiconductor manufacturing equipment (SME) to China, along with new controls on U.S. persons supporting Chinese advanced-node IC development. This was the first of three major rounds of controls targeting China's semiconductor industry.</w:t>
      </w:r>
    </w:p>
    <w:p>
      <w:r>
        <w:t>On October 17-19, 2023, BIS updated the October 2022 controls with an SME-specific interim final rule, additional Entity List designations, and expanded license requirements for semiconductor manufacturing equipment destined for 21 additional countries subject to U.S. arms embargoes, beyond just China and Macau.</w:t>
      </w:r>
    </w:p>
    <w:p>
      <w:r>
        <w:t>On December 2, 2024, BIS released a third package of controls: an interim final rule adding new Export Control Classification Numbers (ECCNs) for high-bandwidth memory (HBM) and SME, two new Foreign Direct Product (FDP) rules extending U.S. jurisdiction to certain foreign-made items (the Footnote 5 rule and the SME FDP rule), and a companion rule adding 140 entities to the Entity List while removing three Chinese firms (CSMC Technologies, Shanghai Huahong Grace Semiconductor, and Advanced Micro-Fabrication Equipment) from the Validated End-User program. Most provisions took effect December 2, 2024, with a compliance deadline of December 31, 2024 for Entity List-linked requirements.</w:t>
      </w:r>
    </w:p>
    <w:p>
      <w:r>
        <w:t>China's Ministry of Commerce retaliated on December 3, 2024, banning exports to the United States of gallium, germanium, and antimony, and imposing additional scrutiny on graphite exports. Gallium and germanium are critical inputs for advanced compound-semiconductor chip production, making this a direct upstream materials-availability risk for electronics supply chains that source from or through China.</w:t>
      </w:r>
    </w:p>
    <w:p>
      <w:r>
        <w:t>On January 13-16, 2025, BIS issued an 'AI Diffusion' interim final rule establishing a three-tier country licensing framework for advanced computing items: Tier 1 countries (close U.S. allies) receive a presumption of license approval; Tier 2 countries receive a capped presumption of approval up to a per-country cumulative computing-power threshold for 2025-2027; and Tier 3 countries, including China, Russia, and North Korea, are subject to a presumption of denial. A companion Due Diligence rule and a further 27 Entity List additions took effect the same week. BIS also imposed new due-diligence and reporting obligations on front-end fabricators and outsourced assembly and test (OSAT) companies shipping advanced logic ICs.</w:t>
      </w:r>
    </w:p>
    <w:p>
      <w:r>
        <w:t>Through 2025, chipmakers have responded to these controls by calibrating products to fall just below regulatory thresholds (for example, Nvidia's and AMD's China-specific GPU variants), while the second Trump Administration has both tightened controls (42 additional PRC Entity List designations in March 2025, another 23 in September 2025, and a new licensing requirement for Nvidia's H20 GPU) and, separately, negotiated narrower exceptions for specific chip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