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CRS Report R47558: Semiconductors and the CHIPS Act — The Global Context</w:t>
      </w:r>
    </w:p>
    <w:p>
      <w:r>
        <w:rPr>
          <w:i/>
        </w:rPr>
        <w:t>[SOURCE: REAL] Congressional Research Service, CRS Report R47558, May 18, 2023. Public domain (U.S. government work).</w:t>
      </w:r>
    </w:p>
    <w:p/>
    <w:p>
      <w:r>
        <w:t>This report situates U.S. semiconductor policy within the global competitive landscape, noting that TSMC announced in May 2020 its intention to build an advanced fabrication plant in Arizona, with the first facility scheduled to produce N4-generation process technology — while the bulk of TSMC's expansion remains concentrated in Taiwan, with additional facilities in China, Japan, and Europe.</w:t>
      </w:r>
    </w:p>
    <w:p>
      <w:r>
        <w:t>The report describes a shifting outsourced assembly, test, and packaging (OSAT) landscape: as the U.S. expands domestic foundry capacity, Malaysia, Singapore, and other Southeast Asian countries are positioned to absorb growing OSAT demand, alongside continued Chinese capacity growth.</w:t>
      </w:r>
    </w:p>
    <w:p>
      <w:r>
        <w:t>It also quantifies the scale of Chinese state investment in domestic semiconductor capability: an estimated $150 billion China Integrated Circuit Investment Industry Fund (CICIIF), a second $29 billion fund announced in October 2019, and a further $143 billion in state support announced in December 2022 — underscoring that China's semiconductor self-sufficiency drive is a long-horizon, heavily state-funded effort rather than a short-term response to export controls.</w:t>
      </w:r>
    </w:p>
    <w:p>
      <w:r>
        <w:t>For mitigation planning, this report is useful context on why single-country or single-fab concentration (particularly Taiwan-centric leading-edge capacity) remains a structural supply chain risk even as reshoring and alternate-sourcing efforts progress.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