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China's Critical Minerals Export Restrictions on Gallium, Germanium, and Antimony (2024-2025)</w:t>
      </w:r>
    </w:p>
    <w:p>
      <w:r>
        <w:rPr>
          <w:i/>
        </w:rPr>
        <w:t>[SOURCE: REAL] Compiled from Holland &amp; Knight and Alston &amp; Bird client-alert coverage of the December 2024 BIS rules and China's Ministry of Commerce response; cross-referenced with CRS R46581 on materials concentration.</w:t>
      </w:r>
    </w:p>
    <w:p/>
    <w:p>
      <w:r>
        <w:t>On December 3, 2024, immediately following the U.S. Bureau of Industry and Security's December 2 package of semiconductor export controls, China's Ministry of Commerce announced a ban on exports to the United States of gallium, germanium, and antimony, and placed additional export scrutiny on graphite.</w:t>
      </w:r>
    </w:p>
    <w:p>
      <w:r>
        <w:t>Gallium and germanium are essential inputs to compound semiconductors — including gallium arsenide (GaAs) and gallium nitride (GaN) devices used in high-frequency, high-power, and optoelectronic applications — while antimony and graphite have both military and civilian electronics applications, including battery components.</w:t>
      </w:r>
    </w:p>
    <w:p>
      <w:r>
        <w:t>This retaliatory action illustrates a direct feedback loop relevant to disruption modeling: a U.S. export-control action targeting downstream advanced chips can trigger a Chinese counter-restriction on upstream raw materials, meaning export-control risk and raw-materials-availability risk should not be modeled as fully independent signals — a control action on one side of the supply chain can propagate risk to the other side within days.</w:t>
      </w:r>
    </w:p>
    <w:p>
      <w:r>
        <w:t>China's dominance in gallium and germanium refining (a substantial majority of global refined supply for both materials originates in China) means this restriction has outsized impact potential despite the relatively small dollar volume of the materials themselves, a pattern consistent with other chokepoint materials in the semiconductor supply chain.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