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 Semiconductor Mission 2.0 and the Design-Linked Incentive (DLI) Ecosystem</w:t>
      </w:r>
    </w:p>
    <w:p>
      <w:r>
        <w:rPr>
          <w:i/>
        </w:rPr>
        <w:t>[SOURCE: REAL] Press Information Bureau (PIB), Union Budget 2026-27 documentation and related coverage, accessed via web search, February 2026.</w:t>
      </w:r>
    </w:p>
    <w:p/>
    <w:p>
      <w:r>
        <w:t>The Union Budget 2026-27 announced India Semiconductor Mission 2.0 as the next phase of India's chip strategy, with an initial budgetary provision of ₹1,000 crore for FY2026-27 emphasizing industry-led research and training centers; some reporting citing government sources describes a substantially larger proposed outlay in the ₹1 lakh crore-plus range pending final Cabinet approval, reflecting scale ambitions beyond the original ₹76,000 crore ISM 1.0 outlay.</w:t>
      </w:r>
    </w:p>
    <w:p>
      <w:r>
        <w:t>ISM 2.0's stated focus areas are threefold: domestic production of semiconductor equipment and materials (reducing reliance on imported fab tooling), development of full-stack Indian semiconductor intellectual property and chip design capability, and strengthening the resilience of both domestic and global supply chains that India participates in.</w:t>
      </w:r>
    </w:p>
    <w:p>
      <w:r>
        <w:t>India's roadmap targets 70-75% domestic design-and-manufacture capability for chips used in domestic applications by 2029, with a longer-term push toward 3-nanometre and 2-nanometre process node capability by 2035 — positioning India's semiconductor ambitions as a multi-decade, phased build-out rather than a near-term fab-count target.</w:t>
      </w:r>
    </w:p>
    <w:p>
      <w:r>
        <w:t>The Design-Linked Incentive (DLI) scheme, which supports the design side of the value chain separately from ISM's fabrication-focused incentives, had (as of January 2026) supported 24 semiconductor design startups that collectively attracted roughly ₹430 crore in venture capital funding. The national Advanced Electronic Design Automation (EDA) platform had logged approximately 2.25 crore tool-hours of usage by around 67,000 students and 1,000-plus startup engineers, resulting in 122 academic chip tape-outs (56 chips fabricated at the 180nm node at the Semiconductor Laboratory in Mohali) and 16 startup tape-outs, including 6 chips fabricated at advanced nodes down to 12nm.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