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PLI Scheme for Electronic Components (ECMS) — India's Component-Level Localization Push</w:t>
      </w:r>
    </w:p>
    <w:p>
      <w:r>
        <w:rPr>
          <w:i/>
        </w:rPr>
        <w:t>[SOURCE: REAL] KPMG India advisory summary of the March 2025 Cabinet approval and MeitY notification (F.No. W/49/2024-IPHW, dated April 8, 2025); cross-referenced with PIB and Wikipedia aggregation of the same announcement.</w:t>
      </w:r>
    </w:p>
    <w:p/>
    <w:p>
      <w:r>
        <w:t>In March 2025, the Union Cabinet approved a new ₹22,919 crore Production Linked Incentive scheme specifically targeting electronic components rather than finished devices — a deliberate move upstream in the value chain, since the earlier PLI-LSEM scheme had successfully attracted large-scale assembly operations but left India still heavily import-dependent on the underlying components.</w:t>
      </w:r>
    </w:p>
    <w:p>
      <w:r>
        <w:t>The scheme, formally notified April 8, 2025, targets sub-assemblies and foundational components including multi-layer printed circuit boards (PCBs), display and camera modules, lithium-ion cells, and passive components such as resistors, capacitors, inductors, connectors, and magnetics, plus the capital equipment used to manufacture them.</w:t>
      </w:r>
    </w:p>
    <w:p>
      <w:r>
        <w:t>Over its six-year tenure the scheme is projected to attract roughly ₹59,350 crore in investment, generate about ₹4.56 lakh crore in production, and create approximately 91,600 direct jobs. By October 2025, electronics-component makers had already committed more than ₹1.15 lakh crore across 249 applications, and a first batch of 7 approved projects — mostly multi-layer PCB and camera-module plants worth over ₹5,500 crore — was expected to create more than 5,100 direct jobs.</w:t>
      </w:r>
    </w:p>
    <w:p>
      <w:r>
        <w:t>The scheme is designed to succeed and extend the earlier Scheme for Promotion of Manufacturing of Electronic Components and Semiconductors (SPECS): applicants previously approved under SPECS but unable to draw incentives due to budget constraints are permitted to reapply under the new scheme, signaling policy continuity rather than a hard scheme cutover — relevant when assessing whether a given India-based component supplier's incentive status is stable across scheme transitions.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