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CRS Report R48642: U.S. Export Controls and China — Advanced Semiconductors</w:t>
      </w:r>
    </w:p>
    <w:p>
      <w:r>
        <w:rPr>
          <w:i/>
        </w:rPr>
        <w:t>[SOURCE: REAL] Congressional Research Service, CRS Report R48642, by Karen M. Sutter, updated September 19, 2025. Public domain (U.S. government work, not subject to copyright).</w:t>
      </w:r>
    </w:p>
    <w:p/>
    <w:p>
      <w:r>
        <w:t>This CRS report frames semiconductors as strategically central to both artificial intelligence development and national security, noting that advanced chips underpin military modernization, AI capability, and economic competitiveness for the United States, China, and other major economies alike.</w:t>
      </w:r>
    </w:p>
    <w:p>
      <w:r>
        <w:t>The report traces China's semiconductor industrial policy back to a 2014 national plan targeting a world-leading, fully self-sufficient integrated-circuit industry by 2030, and documents how successive rounds of U.S. export controls have tried to slow that trajectory while China has pursued workarounds and countermeasures.</w:t>
      </w:r>
    </w:p>
    <w:p>
      <w:r>
        <w:t>Documented Chinese circumvention strategies include corporate restructuring around Entity List designations (for example, Huawei's 2020 divestiture of its Honor smartphone brand to avoid carrying export-control designations) and continued efforts to source controlled inputs through third-country intermediaries and modified, threshold-compliant chip variants.</w:t>
      </w:r>
    </w:p>
    <w:p>
      <w:r>
        <w:t>The report catalogs the accelerating pace of restriction: from the original October 2022 rule through the December 2024 package and January 2025 AI Diffusion framework, and into 2025 with additional Entity List expansions (42 entities in March 2025, 23 more in September 2025) and a new individual licensing requirement imposed on Nvidia's H20 chip for the Chinese market.</w:t>
      </w:r>
    </w:p>
    <w:p>
      <w:r>
        <w:t>For supply chain risk modeling, the report's core takeaway is that U.S.-China semiconductor export policy has moved from occasional rulemaking to a near-continuous cycle of restriction, circumvention, and re-restriction — meaning export-control risk should be treated as a persistent, regularly-updating input rather than a one-time shock.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