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CRS Report R46581: Semiconductors — U.S. Industry, Global Competition, and Federal Policy</w:t>
      </w:r>
    </w:p>
    <w:p>
      <w:r>
        <w:rPr>
          <w:i/>
        </w:rPr>
        <w:t>[SOURCE: REAL] Congressional Research Service, CRS Report R46581, by Michaela D. Platzer, John F. Sargent Jr., and Karen M. Sutter, October 26, 2020. Public domain (U.S. government work).</w:t>
      </w:r>
    </w:p>
    <w:p/>
    <w:p>
      <w:r>
        <w:t>This foundational CRS report breaks the semiconductor value chain into three stages: design; fabrication (performed in foundries); and assembly, testing, and packaging (ATP, sometimes called OSAT). It notes that fabless design firms — including companies that design custom chips for their own products — rely on contract foundries for physical manufacturing, creating an inherently distributed, multi-party supply chain even for a single chip.</w:t>
      </w:r>
    </w:p>
    <w:p>
      <w:r>
        <w:t>On manufacturing scale, the report explains that modern fabs primarily use 300mm silicon wafers, which yield more than 2,400 integrated circuits per wafer versus roughly 1,000 for older 200mm wafers — meaning capacity is concentrated in a relatively small number of highly capital-intensive 300mm fabs, amplifying the impact of any single-facility disruption.</w:t>
      </w:r>
    </w:p>
    <w:p>
      <w:r>
        <w:t>On raw material concentration risk, the report notes that just five companies account for 90% of global silicon wafer production, with two Japanese firms (Shin-Etsu and Sumco) alone supplying roughly 60% — a chokepoint relevant to any weather- or disaster-driven disruption scenario affecting Japanese production.</w:t>
      </w:r>
    </w:p>
    <w:p>
      <w:r>
        <w:t>The report also describes the legal basis for U.S. semiconductor export controls, tracing them to the 2018 Export Control Reform Act (ECRA), enacted in part to tighten dual-use technology exports to China in response to China's military-civil fusion strategy, which blurs the line between civilian and military end-uses of advanced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