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GAO Report GAO-22-105923: Semiconductor Supply Chain — Policy Considerations</w:t>
      </w:r>
    </w:p>
    <w:p>
      <w:r>
        <w:rPr>
          <w:i/>
        </w:rPr>
        <w:t>[SOURCE: REAL] U.S. Government Accountability Office, GAO-22-105923, 2022. Public domain (U.S. government work).</w:t>
      </w:r>
    </w:p>
    <w:p/>
    <w:p>
      <w:r>
        <w:t>This GAO report identifies specific physical and geopolitical chokepoints in the global semiconductor supply chain. It highlights that most leading-edge chip fabrication is concentrated in Taiwan, and that climate-related shocks compound this concentration risk: Taiwan's worst drought in over half a century, in 2021, forced leading semiconductor manufacturers to curtail or adjust water-intensive fabrication processes, since fabs require large, continuous volumes of ultra-pure water.</w:t>
      </w:r>
    </w:p>
    <w:p>
      <w:r>
        <w:t>The report also documents materials-availability shocks tied to geopolitical conflict, noting that the war in Ukraine disrupted supply of neon gas — a critical input for the lithography step of chip fabrication — because Ukraine and Russia are major global sources of semiconductor-grade neon.</w:t>
      </w:r>
    </w:p>
    <w:p>
      <w:r>
        <w:t>GAO frames these as examples of a broader pattern: the volatile, compounding nature of international crises as a distinct risk category alongside deliberate policy actions like export controls, meaning disruption models should account for weather/climate shocks and geopolitical conflict shocks as separate but potentially overlapping risk channels feeding into the same fab chokepoints.</w:t>
      </w:r>
    </w:p>
    <w:p>
      <w:r>
        <w:t>The report notes that the semiconductor shortage of 2020-2021 was a direct catalyst for the Creating Helpful Incentives to Produce Semiconductors (CHIPS) Act, reflecting a policy response specifically aimed at reducing single-region concentration risk in leading-edge fabrication capacity.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