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India Semiconductor Mission (ISM) — Program Overview and Approved Projects</w:t>
      </w:r>
    </w:p>
    <w:p>
      <w:r>
        <w:rPr>
          <w:i/>
        </w:rPr>
        <w:t>[SOURCE: REAL] Press Information Bureau (PIB), Government of India; India Semiconductor Mission official site (ism.gov.in); accessed via web search, 2025-2026 releases.</w:t>
      </w:r>
    </w:p>
    <w:p/>
    <w:p>
      <w:r>
        <w:t>The India Semiconductor Mission (ISM) was established following Union Cabinet approval in December 2021, implemented through the SEMICON India Programme with a total incentive outlay of ₹76,000 crore. The scheme provides fiscal support of up to 50% of project cost, on a pari-passu basis, for both semiconductor fabs and display fabs, appraised by an Expenditure Finance Committee chaired by the Secretary, Department of Expenditure.</w:t>
      </w:r>
    </w:p>
    <w:p>
      <w:r>
        <w:t>As of December 2025, 10 semiconductor projects had been approved under ISM with cumulative committed investment of approximately ₹1.60 lakh crore, spread across 6 states. The approved project mix spans silicon fabrication units, silicon carbide (SiC) compound-semiconductor fabs, advanced and memory packaging facilities, and specialized assembly-and-test infrastructure. By March 2026, reporting broke this down as 2 fabrication plants and 8 ATMP/OSAT (assembly, test, mark, and package / outsourced semiconductor assembly and test) facilities, with one unit already in commercial production and three more running pilot production lines.</w:t>
      </w:r>
    </w:p>
    <w:p>
      <w:r>
        <w:t>ISM also runs flagship SEMICON India events convening global industry, policymakers, and academia: editions were held in Bangalore (2022), Gandhinagar (2023), Greater Noida (2024), and New Delhi (September 2-4, 2025, at Yashobhoomi/IICC), with each edition scaling up stakeholder participation.</w:t>
      </w:r>
    </w:p>
    <w:p>
      <w:r>
        <w:t>On June 3, 2025, India revised its Special Economic Zone (SEZ) rules specifically to ease semiconductor and electronics manufacturing investment: the minimum land requirement for a semiconductor SEZ was reduced from 50 hectares to 10 hectares, land-related conditions were relaxed, free-of-cost input transfers were allowed to count toward export performance, and domestic sales were permitted on payment of applicable duties.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