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Production Linked Incentive (PLI) Scheme for Large Scale Electronics Manufacturing (LSEM)</w:t>
      </w:r>
    </w:p>
    <w:p>
      <w:r>
        <w:rPr>
          <w:i/>
        </w:rPr>
        <w:t>[SOURCE: REAL] Prime Minister's Office (pmindia.gov.in) Cabinet approval note; Press Information Bureau performance updates through December 2025.</w:t>
      </w:r>
    </w:p>
    <w:p/>
    <w:p>
      <w:r>
        <w:t>The Production Linked Incentive Scheme for Large Scale Electronics Manufacturing (PLI-LSEM) was approved by the Union Cabinet to boost domestic manufacturing and attract investment in mobile phone manufacturing and specified electronic components, including Assembly, Testing, Marking, and Packaging (ATMP) units. It extends an incentive of 4% to 6% on incremental sales over a defined base year, for five years following that base year.</w:t>
      </w:r>
    </w:p>
    <w:p>
      <w:r>
        <w:t>The scheme's total approved cost was approximately ₹40,995 crore, comprising roughly ₹40,951 crore in incentive outlay and ₹44 crore in administrative expenses, with an estimated direct employment potential of over 200,000 jobs and total employment potential (direct plus indirect) of approximately 800,000.</w:t>
      </w:r>
    </w:p>
    <w:p>
      <w:r>
        <w:t>Electronics manufacturing has been one of the PLI programme's strongest-performing sectors: mobile device production rose about 146%, from ₹2.13 lakh crore in FY2020-21 to ₹5.25 lakh crore in FY2024-25, while mobile phone exports grew nearly eightfold over the same period, from ₹228.70 billion to ₹2 trillion.</w:t>
      </w:r>
    </w:p>
    <w:p>
      <w:r>
        <w:t>Across all 14 PLI sectors combined (not electronics alone), cumulative performance as of December 31, 2025 stood at 836 approved applications, investment exceeding ₹2.16 lakh crore, sales exceeding ₹20.41 lakh crore, exports exceeding ₹8.3 lakh crore, more than 14.39 lakh direct and indirect jobs, and ₹28,748 crore in incentives disbursed — indicating the PLI framework has moved well past its pilot phase into sustained, measurable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