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B2545"/>
          <w:sz w:val="36"/>
        </w:rPr>
        <w:t>LocalRCA: Privacy-Preserving Root-Cause Analysis from Real Windows Endpoint Telemetry</w:t>
      </w:r>
    </w:p>
    <w:p>
      <w:pPr>
        <w:spacing w:after="280"/>
        <w:jc w:val="center"/>
      </w:pPr>
      <w:r>
        <w:rPr>
          <w:i/>
        </w:rPr>
        <w:t>Yashash Mathur and co-authors to be confirmed</w:t>
        <w:br/>
        <w:t>Institution and affiliation to be confirmed</w:t>
      </w:r>
    </w:p>
    <w:p>
      <w:pPr>
        <w:pStyle w:val="Heading1"/>
      </w:pPr>
      <w:r>
        <w:t>Abstract</w:t>
      </w:r>
    </w:p>
    <w:p>
      <w:r>
        <w:t>Endpoint performance failures are difficult to investigate because the relevant evidence is often transient, heterogeneous, and privacy-sensitive. This paper presents LocalRCA, a Windows-focused prototype that collects opt-in local telemetry, constructs a clean behavioural baseline, detects anomalous resource behaviour, and ranks root-cause candidates using statistically guarded causal analysis. The system stores metrics, selected process snapshots, and allowlisted/redacted Windows Event Log records in local SQLite rather than exporting raw telemetry. It prevents model windows from crossing sleep or collection gaps, trains an LSTM autoencoder from clean data, uses effect-size and false-discovery-rate controls for Granger-causality edges, and constrains edges using a laptop subsystem topology. This manuscript reports the design and a reproducible evaluation protocol. It deliberately does not report detection accuracy, root-cause accuracy, or latency because no completed real-telemetry study has yet been collected.</w:t>
      </w:r>
    </w:p>
    <w:p>
      <w:r>
        <w:rPr>
          <w:b/>
        </w:rPr>
        <w:t xml:space="preserve">Keywords: </w:t>
      </w:r>
      <w:r>
        <w:t>root-cause analysis; observability; endpoint telemetry; anomaly detection; privacy-preserving systems; causal inference</w:t>
      </w:r>
    </w:p>
    <w:p>
      <w:pPr>
        <w:pStyle w:val="Heading1"/>
      </w:pPr>
      <w:r>
        <w:t>1. Introduction</w:t>
      </w:r>
    </w:p>
    <w:p>
      <w:r>
        <w:t>Operational diagnosis is commonly studied in service and cloud environments, but laptops and desktops have a different evidence profile: workloads change rapidly, devices sleep, battery state changes, and a useful diagnosis often requires correlating resource metrics with a small amount of local process and event evidence. A synthetic demo can validate a pipeline mechanically, but it cannot establish that the system handles real sampling gaps, machine-specific baselines, or privacy constraints. LocalRCA therefore treats real, local collection as a first-class design requirement.</w:t>
      </w:r>
    </w:p>
    <w:p>
      <w:r>
        <w:t>The contribution is a prototype architecture and evaluation-ready implementation for local endpoint RCA. Its central claim is architectural rather than empirical: collection, modelling, causal ranking, and reporting can be organized so that raw evidence remains on the device and conclusions are accompanied by explicit evidential limits.</w:t>
      </w:r>
    </w:p>
    <w:p>
      <w:pPr>
        <w:pStyle w:val="Heading1"/>
      </w:pPr>
      <w:r>
        <w:t>2. System Design</w:t>
      </w:r>
    </w:p>
    <w:p>
      <w:r>
        <w:t>LocalRCA has four stages:</w:t>
      </w:r>
    </w:p>
    <w:p>
      <w:pPr>
        <w:pStyle w:val="ListBullet"/>
      </w:pPr>
      <w:r>
        <w:t>Collection: a consent-gated Windows collector samples CPU, memory, swap, disk, network, power, and process metrics; it also retains only allowlisted Event Log families and redacts event data.</w:t>
      </w:r>
    </w:p>
    <w:p>
      <w:pPr>
        <w:pStyle w:val="ListBullet"/>
      </w:pPr>
      <w:r>
        <w:t>Baseline construction: samples around relevant fault events and samples separated by collection gaps are excluded. Training uses an uninterrupted clean segment, avoiding sequence windows that bridge sleep or missed ticks.</w:t>
      </w:r>
    </w:p>
    <w:p>
      <w:pPr>
        <w:pStyle w:val="ListBullet"/>
      </w:pPr>
      <w:r>
        <w:t>Diagnosis: an LSTM autoencoder produces per-metric scores. Candidate incidents arise from detector runs or fault events. Root-cause ranking combines anomaly timing, event correlation, guarded Granger edges, and a static laptop-subsystem map.</w:t>
      </w:r>
    </w:p>
    <w:p>
      <w:pPr>
        <w:pStyle w:val="ListBullet"/>
      </w:pPr>
      <w:r>
        <w:t>Reporting: Markdown and JSON reports record ranked candidates, causal evidence, event correlations, and retained process attribution. The report distinguishes absent causal support from a positive causal conclusion.</w:t>
      </w:r>
    </w:p>
    <w:tbl>
      <w:tblPr>
        <w:tblStyle w:val="TableGrid"/>
        <w:tblW w:type="auto" w:w="0"/>
        <w:tblLayout w:type="fixed"/>
        <w:tblLook w:firstColumn="1" w:firstRow="1" w:lastColumn="0" w:lastRow="0" w:noHBand="0" w:noVBand="1" w:val="04A0"/>
      </w:tblPr>
      <w:tblGrid>
        <w:gridCol w:w="3120"/>
        <w:gridCol w:w="3120"/>
        <w:gridCol w:w="3120"/>
      </w:tblGrid>
      <w:tr>
        <w:tc>
          <w:tcPr>
            <w:tcW w:type="dxa" w:w="2100"/>
            <w:shd w:fill="F4F6F9"/>
          </w:tcPr>
          <w:p>
            <w:r>
              <w:rPr>
                <w:b/>
              </w:rPr>
              <w:t>Component</w:t>
            </w:r>
          </w:p>
        </w:tc>
        <w:tc>
          <w:tcPr>
            <w:tcW w:type="dxa" w:w="3900"/>
            <w:shd w:fill="F4F6F9"/>
          </w:tcPr>
          <w:p>
            <w:r>
              <w:rPr>
                <w:b/>
              </w:rPr>
              <w:t>Responsibility</w:t>
            </w:r>
          </w:p>
        </w:tc>
        <w:tc>
          <w:tcPr>
            <w:tcW w:type="dxa" w:w="3360"/>
            <w:shd w:fill="F4F6F9"/>
          </w:tcPr>
          <w:p>
            <w:r>
              <w:rPr>
                <w:b/>
              </w:rPr>
              <w:t>Privacy / reliability control</w:t>
            </w:r>
          </w:p>
        </w:tc>
      </w:tr>
      <w:tr>
        <w:tc>
          <w:tcPr>
            <w:tcW w:type="dxa" w:w="2100"/>
          </w:tcPr>
          <w:p>
            <w:r>
              <w:t>SQLite telemetry store</w:t>
            </w:r>
          </w:p>
        </w:tc>
        <w:tc>
          <w:tcPr>
            <w:tcW w:type="dxa" w:w="3900"/>
          </w:tcPr>
          <w:p>
            <w:r>
              <w:t>Persists samples, process snapshots, events, and gaps</w:t>
            </w:r>
          </w:p>
        </w:tc>
        <w:tc>
          <w:tcPr>
            <w:tcW w:type="dxa" w:w="3360"/>
          </w:tcPr>
          <w:p>
            <w:r>
              <w:t>Local storage; WAL mode; retention controls</w:t>
            </w:r>
          </w:p>
        </w:tc>
      </w:tr>
      <w:tr>
        <w:tc>
          <w:tcPr>
            <w:tcW w:type="dxa" w:w="2100"/>
          </w:tcPr>
          <w:p>
            <w:r>
              <w:t>Baseline filter</w:t>
            </w:r>
          </w:p>
        </w:tc>
        <w:tc>
          <w:tcPr>
            <w:tcW w:type="dxa" w:w="3900"/>
          </w:tcPr>
          <w:p>
            <w:r>
              <w:t>Excludes faults, recovery windows, null model rows, and gaps</w:t>
            </w:r>
          </w:p>
        </w:tc>
        <w:tc>
          <w:tcPr>
            <w:tcW w:type="dxa" w:w="3360"/>
          </w:tcPr>
          <w:p>
            <w:r>
              <w:t>No imputation across a collection discontinuity</w:t>
            </w:r>
          </w:p>
        </w:tc>
      </w:tr>
      <w:tr>
        <w:tc>
          <w:tcPr>
            <w:tcW w:type="dxa" w:w="2100"/>
          </w:tcPr>
          <w:p>
            <w:r>
              <w:t>LSTM model bundle</w:t>
            </w:r>
          </w:p>
        </w:tc>
        <w:tc>
          <w:tcPr>
            <w:tcW w:type="dxa" w:w="3900"/>
          </w:tcPr>
          <w:p>
            <w:r>
              <w:t>Stores weights, thresholds, scaler, feature order, and training metadata</w:t>
            </w:r>
          </w:p>
        </w:tc>
        <w:tc>
          <w:tcPr>
            <w:tcW w:type="dxa" w:w="3360"/>
          </w:tcPr>
          <w:p>
            <w:r>
              <w:t>Schema-compatible reload and staleness evidence</w:t>
            </w:r>
          </w:p>
        </w:tc>
      </w:tr>
      <w:tr>
        <w:tc>
          <w:tcPr>
            <w:tcW w:type="dxa" w:w="2100"/>
          </w:tcPr>
          <w:p>
            <w:r>
              <w:t>Causal analysis</w:t>
            </w:r>
          </w:p>
        </w:tc>
        <w:tc>
          <w:tcPr>
            <w:tcW w:type="dxa" w:w="3900"/>
          </w:tcPr>
          <w:p>
            <w:r>
              <w:t>Tests metric relationships and ranks candidates</w:t>
            </w:r>
          </w:p>
        </w:tc>
        <w:tc>
          <w:tcPr>
            <w:tcW w:type="dxa" w:w="3360"/>
          </w:tcPr>
          <w:p>
            <w:r>
              <w:t>Effect-size floor, FDR control, topology pruning</w:t>
            </w:r>
          </w:p>
        </w:tc>
      </w:tr>
      <w:tr>
        <w:tc>
          <w:tcPr>
            <w:tcW w:type="dxa" w:w="2100"/>
          </w:tcPr>
          <w:p>
            <w:r>
              <w:t>Desktop workflow</w:t>
            </w:r>
          </w:p>
        </w:tc>
        <w:tc>
          <w:tcPr>
            <w:tcW w:type="dxa" w:w="3900"/>
          </w:tcPr>
          <w:p>
            <w:r>
              <w:t>Shows readiness, incidents, RCA, and export</w:t>
            </w:r>
          </w:p>
        </w:tc>
        <w:tc>
          <w:tcPr>
            <w:tcW w:type="dxa" w:w="3360"/>
          </w:tcPr>
          <w:p>
            <w:r>
              <w:t>Consent-dependent local operation</w:t>
            </w:r>
          </w:p>
        </w:tc>
      </w:tr>
    </w:tbl>
    <w:p/>
    <w:p>
      <w:pPr>
        <w:pStyle w:val="Heading1"/>
      </w:pPr>
      <w:r>
        <w:t>3. Methods</w:t>
      </w:r>
    </w:p>
    <w:p>
      <w:pPr>
        <w:pStyle w:val="Heading2"/>
      </w:pPr>
      <w:r>
        <w:t>3.1 Telemetry and preprocessing</w:t>
      </w:r>
    </w:p>
    <w:p>
      <w:r>
        <w:t>System-level sampling is scheduled at a fixed cadence. The design records elapsed monotonic time and treats a gap above the configured threshold as a hard boundary. Process snapshots are sampled less frequently, with burst sampling under high resource pressure. Event Log collection uses a provider/Event-ID allowlist; event message capture is opt-in and redacted. These choices reduce data collection while preserving evidence relevant to endpoint resource failures.</w:t>
      </w:r>
    </w:p>
    <w:p>
      <w:pPr>
        <w:pStyle w:val="Heading2"/>
      </w:pPr>
      <w:r>
        <w:t>3.2 Anomaly detection and model lifecycle</w:t>
      </w:r>
    </w:p>
    <w:p>
      <w:r>
        <w:t>The model is trained only on clean samples from the longest uninterrupted segment. A MinMax scaler is fitted on that baseline and saved with the autoencoder thresholds and feature order. At inference, the prototype records model age and compares a recent reconstruction-derived score with a training reference. This is an operational warning signal, not a validated drift detector; its threshold must be calibrated empirically.</w:t>
      </w:r>
    </w:p>
    <w:p>
      <w:pPr>
        <w:pStyle w:val="Heading2"/>
      </w:pPr>
      <w:r>
        <w:t>3.3 Causal ranking and attribution</w:t>
      </w:r>
    </w:p>
    <w:p>
      <w:r>
        <w:t>Granger tests are applied only to anomalous metrics after stationarity handling. Candidate edges require both a minimum effect proxy and a Benjamini-Hochberg false-discovery-rate threshold. A static directed graph of endpoint subsystems removes statistically significant but architecturally implausible directions. Process attribution aggregates retained CPU, memory, and I/O observations around the incident interval. These mechanisms provide evidence for investigation; they do not establish physical causality.</w:t>
      </w:r>
    </w:p>
    <w:p>
      <w:pPr>
        <w:pStyle w:val="Heading1"/>
      </w:pPr>
      <w:r>
        <w:t>4. Evaluation Protocol</w:t>
      </w:r>
    </w:p>
    <w:p>
      <w:r>
        <w:t>A publishable evaluation must collect real data before any quantitative conclusions are made. We propose a within-device study across at least 10 consenting devices, each with a minimum of seven days of baseline collection and a documented set of reproducible workload or fault scenarios. The study should contain normal use, CPU saturation, memory pressure, disk pressure, network contention, sleep/resume, and Windows fault-event scenarios. The protocol should be approved by the relevant institutional process before collecting participant data.</w:t>
      </w:r>
    </w:p>
    <w:tbl>
      <w:tblPr>
        <w:tblStyle w:val="TableGrid"/>
        <w:tblW w:type="auto" w:w="0"/>
        <w:tblLayout w:type="fixed"/>
        <w:tblLook w:firstColumn="1" w:firstRow="1" w:lastColumn="0" w:lastRow="0" w:noHBand="0" w:noVBand="1" w:val="04A0"/>
      </w:tblPr>
      <w:tblGrid>
        <w:gridCol w:w="3120"/>
        <w:gridCol w:w="3120"/>
        <w:gridCol w:w="3120"/>
      </w:tblGrid>
      <w:tr>
        <w:tc>
          <w:tcPr>
            <w:tcW w:type="dxa" w:w="2100"/>
            <w:shd w:fill="F4F6F9"/>
          </w:tcPr>
          <w:p>
            <w:r>
              <w:rPr>
                <w:b/>
              </w:rPr>
              <w:t>Question</w:t>
            </w:r>
          </w:p>
        </w:tc>
        <w:tc>
          <w:tcPr>
            <w:tcW w:type="dxa" w:w="3600"/>
            <w:shd w:fill="F4F6F9"/>
          </w:tcPr>
          <w:p>
            <w:r>
              <w:rPr>
                <w:b/>
              </w:rPr>
              <w:t>Measurement</w:t>
            </w:r>
          </w:p>
        </w:tc>
        <w:tc>
          <w:tcPr>
            <w:tcW w:type="dxa" w:w="3660"/>
            <w:shd w:fill="F4F6F9"/>
          </w:tcPr>
          <w:p>
            <w:r>
              <w:rPr>
                <w:b/>
              </w:rPr>
              <w:t>Required comparison</w:t>
            </w:r>
          </w:p>
        </w:tc>
      </w:tr>
      <w:tr>
        <w:tc>
          <w:tcPr>
            <w:tcW w:type="dxa" w:w="2100"/>
          </w:tcPr>
          <w:p>
            <w:r>
              <w:t>Detection quality</w:t>
            </w:r>
          </w:p>
        </w:tc>
        <w:tc>
          <w:tcPr>
            <w:tcW w:type="dxa" w:w="3600"/>
          </w:tcPr>
          <w:p>
            <w:r>
              <w:t>Precision, recall, F1, alert delay</w:t>
            </w:r>
          </w:p>
        </w:tc>
        <w:tc>
          <w:tcPr>
            <w:tcW w:type="dxa" w:w="3660"/>
          </w:tcPr>
          <w:p>
            <w:r>
              <w:t>LSTM-only, statistical baseline, and rule baseline</w:t>
            </w:r>
          </w:p>
        </w:tc>
      </w:tr>
      <w:tr>
        <w:tc>
          <w:tcPr>
            <w:tcW w:type="dxa" w:w="2100"/>
          </w:tcPr>
          <w:p>
            <w:r>
              <w:t>RCA quality</w:t>
            </w:r>
          </w:p>
        </w:tc>
        <w:tc>
          <w:tcPr>
            <w:tcW w:type="dxa" w:w="3600"/>
          </w:tcPr>
          <w:p>
            <w:r>
              <w:t>Top-1 / Top-3 root-cause accuracy; time to useful hypothesis</w:t>
            </w:r>
          </w:p>
        </w:tc>
        <w:tc>
          <w:tcPr>
            <w:tcW w:type="dxa" w:w="3660"/>
          </w:tcPr>
          <w:p>
            <w:r>
              <w:t>Unconstrained vs. FDR/topology-constrained ranking</w:t>
            </w:r>
          </w:p>
        </w:tc>
      </w:tr>
      <w:tr>
        <w:tc>
          <w:tcPr>
            <w:tcW w:type="dxa" w:w="2100"/>
          </w:tcPr>
          <w:p>
            <w:r>
              <w:t>Robustness</w:t>
            </w:r>
          </w:p>
        </w:tc>
        <w:tc>
          <w:tcPr>
            <w:tcW w:type="dxa" w:w="3600"/>
          </w:tcPr>
          <w:p>
            <w:r>
              <w:t>Failure rate after gaps, sleep/resume, missing battery data</w:t>
            </w:r>
          </w:p>
        </w:tc>
        <w:tc>
          <w:tcPr>
            <w:tcW w:type="dxa" w:w="3660"/>
          </w:tcPr>
          <w:p>
            <w:r>
              <w:t>Gap-aware vs. gap-bridging preprocessing</w:t>
            </w:r>
          </w:p>
        </w:tc>
      </w:tr>
      <w:tr>
        <w:tc>
          <w:tcPr>
            <w:tcW w:type="dxa" w:w="2100"/>
          </w:tcPr>
          <w:p>
            <w:r>
              <w:t>Operational cost</w:t>
            </w:r>
          </w:p>
        </w:tc>
        <w:tc>
          <w:tcPr>
            <w:tcW w:type="dxa" w:w="3600"/>
          </w:tcPr>
          <w:p>
            <w:r>
              <w:t>CPU, memory, disk use, battery impact, storage growth</w:t>
            </w:r>
          </w:p>
        </w:tc>
        <w:tc>
          <w:tcPr>
            <w:tcW w:type="dxa" w:w="3660"/>
          </w:tcPr>
          <w:p>
            <w:r>
              <w:t>Collector enabled vs. disabled</w:t>
            </w:r>
          </w:p>
        </w:tc>
      </w:tr>
      <w:tr>
        <w:tc>
          <w:tcPr>
            <w:tcW w:type="dxa" w:w="2100"/>
          </w:tcPr>
          <w:p>
            <w:r>
              <w:t>Privacy utility</w:t>
            </w:r>
          </w:p>
        </w:tc>
        <w:tc>
          <w:tcPr>
            <w:tcW w:type="dxa" w:w="3600"/>
          </w:tcPr>
          <w:p>
            <w:r>
              <w:t>Fields retained, redaction failures, user acceptability</w:t>
            </w:r>
          </w:p>
        </w:tc>
        <w:tc>
          <w:tcPr>
            <w:tcW w:type="dxa" w:w="3660"/>
          </w:tcPr>
          <w:p>
            <w:r>
              <w:t>Opt-in event text off vs. on</w:t>
            </w:r>
          </w:p>
        </w:tc>
      </w:tr>
    </w:tbl>
    <w:p/>
    <w:p>
      <w:pPr>
        <w:pStyle w:val="Heading1"/>
      </w:pPr>
      <w:r>
        <w:t>5. Current Evidence and Limitations</w:t>
      </w:r>
    </w:p>
    <w:p>
      <w:r>
        <w:t>The available evidence is implementation-level: unit and integration tests exercise storage, rate calculations, redaction, Event Log handling, baseline filtering, incident segmentation, and desktop smoke paths. This evidence supports software correctness only. It does not support claims of anomaly accuracy, causal validity, battery efficiency, user acceptance, or generalization across hardware. In particular, Granger relationships are predictive associations under model assumptions, and a static subsystem map cannot replace domain-specific causal ground truth.</w:t>
      </w:r>
    </w:p>
    <w:p>
      <w:r>
        <w:t>The current prototype is Windows-oriented and focuses on local endpoint telemetry. It is not a replacement for enterprise observability systems, EDR products, or forensic tooling. The next experimental milestone is a preregistered data-collection and annotation study, followed by an ablation study of gap filtering, event correlation, FDR correction, topology pruning, and process attribution.</w:t>
      </w:r>
    </w:p>
    <w:p>
      <w:pPr>
        <w:pStyle w:val="Heading1"/>
      </w:pPr>
      <w:r>
        <w:t>6. Conclusion</w:t>
      </w:r>
    </w:p>
    <w:p>
      <w:r>
        <w:t>LocalRCA demonstrates an implementation path for privacy-conscious endpoint RCA based on real local telemetry. Its design prioritizes honest evidence handling: opt-in collection, no synthetic incidents in the production workflow, explicit gap boundaries, conservative statistical guards, and reports that expose the strength and limits of the evidence. The prototype is ready for empirical evaluation, but empirical claims should await the proposed multi-device study.</w:t>
      </w:r>
    </w:p>
    <w:p>
      <w:pPr>
        <w:pStyle w:val="Heading1"/>
      </w:pPr>
      <w:r>
        <w:t>References</w:t>
      </w:r>
    </w:p>
    <w:p>
      <w:pPr>
        <w:ind w:left="432" w:hanging="432"/>
      </w:pPr>
      <w:r>
        <w:t>[1] V. Chandola, A. Banerjee, and V. Kumar, "Anomaly Detection: A Survey," ACM Computing Surveys, vol. 41, no. 3, 2009. doi: 10.1145/1541880.1541882.</w:t>
      </w:r>
    </w:p>
    <w:p>
      <w:pPr>
        <w:ind w:left="432" w:hanging="432"/>
      </w:pPr>
      <w:r>
        <w:t>[2] C. W. J. Granger, "Investigating Causal Relations by Econometric Models and Cross-spectral Methods," Econometrica, vol. 37, no. 3, pp. 424-438, 1969. doi: 10.2307/1912791.</w:t>
      </w:r>
    </w:p>
    <w:p>
      <w:pPr>
        <w:ind w:left="432" w:hanging="432"/>
      </w:pPr>
      <w:r>
        <w:t>[3] Y. Benjamini and Y. Hochberg, "Controlling the False Discovery Rate: A Practical and Powerful Approach to Multiple Testing," Journal of the Royal Statistical Society: Series B, vol. 57, no. 1, pp. 289-300, 1995. doi: 10.1111/j.2517-6161.1995.tb02031.x.</w:t>
      </w:r>
    </w:p>
    <w:p>
      <w:pPr>
        <w:ind w:left="432" w:hanging="432"/>
      </w:pPr>
      <w:r>
        <w:t>[4] IEEE Communications Society, "IEEE Transactions on Network and Service Management," journal scope and author information, accessed July 2026.</w:t>
      </w:r>
    </w:p>
    <w:p>
      <w:pPr>
        <w:ind w:left="432" w:hanging="432"/>
      </w:pPr>
      <w:r>
        <w:t>[5] IEEE Access, "About IEEE Access," journal scope and author information, accessed July 2026.</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LocalRCA research-paper draft | Results pending real-telemetry evaluation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