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0" w:after="120"/>
        <w:jc w:val="center"/>
      </w:pPr>
      <w:r>
        <w:rPr>
          <w:b/>
          <w:bCs/>
          <w:color w:val="1F4E79"/>
          <w:sz w:val="52"/>
          <w:szCs w:val="52"/>
        </w:rPr>
        <w:t xml:space="preserve">Automated Root Cause Analysis (RCA)</w:t>
      </w:r>
    </w:p>
    <w:p>
      <w:pPr>
        <w:spacing w:before="0" w:after="300"/>
        <w:jc w:val="center"/>
      </w:pPr>
      <w:r>
        <w:rPr>
          <w:b/>
          <w:bCs/>
          <w:color w:val="2E75B6"/>
          <w:sz w:val="44"/>
          <w:szCs w:val="44"/>
        </w:rPr>
        <w:t xml:space="preserve">AI Agent for Production Failures</w:t>
      </w:r>
    </w:p>
    <w:p>
      <w:pPr>
        <w:spacing w:before="0" w:after="600"/>
        <w:jc w:val="center"/>
      </w:pPr>
      <w:r>
        <w:rPr>
          <w:color w:val="555555"/>
          <w:sz w:val="28"/>
          <w:szCs w:val="28"/>
        </w:rPr>
        <w:t xml:space="preserve">Comprehensive Design, Implementation &amp; Deployment Plan</w:t>
      </w:r>
    </w:p>
    <w:p>
      <w:pPr>
        <w:spacing w:before="0" w:after="120"/>
        <w:jc w:val="center"/>
      </w:pPr>
      <w:r>
        <w:rPr>
          <w:i/>
          <w:iCs/>
          <w:color w:val="777777"/>
          <w:sz w:val="24"/>
          <w:szCs w:val="24"/>
        </w:rPr>
        <w:t xml:space="preserve">Final Year Major Project Blueprint</w:t>
      </w:r>
    </w:p>
    <w:p>
      <w:pPr>
        <w:spacing w:before="0" w:after="2400"/>
        <w:jc w:val="center"/>
      </w:pPr>
      <w:r>
        <w:rPr>
          <w:color w:val="777777"/>
          <w:sz w:val="24"/>
          <w:szCs w:val="24"/>
        </w:rPr>
        <w:t xml:space="preserve">February 2026</w:t>
      </w:r>
    </w:p>
    <w:p>
      <w:r>
        <w:br w:type="page"/>
      </w:r>
    </w:p>
    <w:p>
      <w:pPr>
        <w:pStyle w:val="Heading1"/>
        <w:pBdr>
          <w:bottom w:val="single" w:color="2E75B6" w:sz="6" w:space="1"/>
        </w:pBdr>
        <w:spacing w:before="360" w:after="180"/>
      </w:pPr>
      <w:r>
        <w:rPr>
          <w:b/>
          <w:bCs/>
          <w:color w:val="1F4E79"/>
          <w:sz w:val="36"/>
          <w:szCs w:val="36"/>
        </w:rPr>
        <w:t xml:space="preserve">1. Executive Summary</w:t>
      </w:r>
    </w:p>
    <w:p>
      <w:pPr>
        <w:spacing w:before="60" w:after="80"/>
      </w:pPr>
      <w:r>
        <w:rPr>
          <w:sz w:val="22"/>
          <w:szCs w:val="22"/>
        </w:rPr>
        <w:t xml:space="preserve">Modern distributed systems generate cascading failures that defy manual diagnosis. A single misconfigured database index can silently degrade query performance for hours before triggering a user-facing outage—exactly the scenario described in Document 1's e-commerce case study, where a $50,000 revenue loss unfolded across 7 hours before the root cause was traced to a 2 PM schema migration. Document 2 reinforces this reality across industries: cloud platforms, aviation manufacturing, and electric vehicle production all suffer from the same fundamental gap—traditional monitoring detects that something failed, but cannot explain why.</w:t>
      </w:r>
    </w:p>
    <w:p>
      <w:pPr>
        <w:spacing w:before="60" w:after="80"/>
      </w:pPr>
      <w:r>
        <w:rPr>
          <w:sz w:val="22"/>
          <w:szCs w:val="22"/>
        </w:rPr>
        <w:t xml:space="preserve">This plan proposes building an AI-powered Automated RCA Agent—a production-grade system combining LSTM/Transformer-based anomaly detection, Granger causal inference, and a Knowledge-Informed Hierarchical Bayesian Network (KHBN) to automatically trace failure chains to their root causes within minutes of incident onset. Drawing on validated industrial deployments (CloudRCA reduced Alibaba SRE troubleshooting time by 20%+; hybrid Knowledge Graph + Causal Bayesian Network tools cut spurious correlations by 60.6% in EV manufacturing), this project is technically grounded and academically defensible. Feasibility verdict: HIGH (85%), constrained primarily by labeled ground-truth data availability and GPU access for LSTM training—both manageable through synthetic failure generation and free-tier cloud GPU services.</w:t>
      </w:r>
    </w:p>
    <w:p>
      <w:pPr>
        <w:spacing w:before="80" w:after="80"/>
      </w:pPr>
      <w:r>
        <w:t xml:space="preserve"/>
      </w:r>
    </w:p>
    <w:p>
      <w:pPr>
        <w:pStyle w:val="Heading1"/>
        <w:pBdr>
          <w:bottom w:val="single" w:color="2E75B6" w:sz="6" w:space="1"/>
        </w:pBdr>
        <w:spacing w:before="360" w:after="180"/>
      </w:pPr>
      <w:r>
        <w:rPr>
          <w:b/>
          <w:bCs/>
          <w:color w:val="1F4E79"/>
          <w:sz w:val="36"/>
          <w:szCs w:val="36"/>
        </w:rPr>
        <w:t xml:space="preserve">2. Detailed Analysis of the Two Source Documents</w:t>
      </w:r>
    </w:p>
    <w:p>
      <w:pPr>
        <w:pStyle w:val="Heading2"/>
        <w:spacing w:before="280" w:after="120"/>
      </w:pPr>
      <w:r>
        <w:rPr>
          <w:b/>
          <w:bCs/>
          <w:color w:val="2E75B6"/>
          <w:sz w:val="28"/>
          <w:szCs w:val="28"/>
        </w:rPr>
        <w:t xml:space="preserve">2.1 Document 1 — RCA System Documentation (Project Spec)</w:t>
      </w:r>
    </w:p>
    <w:p>
      <w:pPr>
        <w:pStyle w:val="Heading3"/>
        <w:spacing w:before="200" w:after="80"/>
      </w:pPr>
      <w:r>
        <w:rPr>
          <w:b/>
          <w:bCs/>
          <w:color w:val="2F5496"/>
          <w:sz w:val="24"/>
          <w:szCs w:val="24"/>
        </w:rPr>
        <w:t xml:space="preserve">Key Goals, Constraints &amp; Requirements</w:t>
      </w:r>
    </w:p>
    <w:p>
      <w:pPr>
        <w:pStyle w:val="ListParagraph"/>
        <w:numPr>
          <w:ilvl w:val="0"/>
          <w:numId w:val="2"/>
        </w:numPr>
        <w:spacing w:before="40" w:after="40"/>
      </w:pPr>
      <w:r>
        <w:rPr>
          <w:sz w:val="22"/>
          <w:szCs w:val="22"/>
        </w:rPr>
        <w:t xml:space="preserve">Build a 4-stage AI pipeline: Behavioral Learning → Anomaly Detection → Causal Inference → Root Cause Ranking, all within a 16–24 week student timeline</w:t>
      </w:r>
    </w:p>
    <w:p>
      <w:pPr>
        <w:pStyle w:val="ListParagraph"/>
        <w:numPr>
          <w:ilvl w:val="0"/>
          <w:numId w:val="2"/>
        </w:numPr>
        <w:spacing w:before="40" w:after="40"/>
      </w:pPr>
      <w:r>
        <w:rPr>
          <w:sz w:val="22"/>
          <w:szCs w:val="22"/>
        </w:rPr>
        <w:t xml:space="preserve">Detect 50+ anomaly types across CPU, Memory, Storage/I/O, Network, and Application layers</w:t>
      </w:r>
    </w:p>
    <w:p>
      <w:pPr>
        <w:pStyle w:val="ListParagraph"/>
        <w:numPr>
          <w:ilvl w:val="0"/>
          <w:numId w:val="2"/>
        </w:numPr>
        <w:spacing w:before="40" w:after="40"/>
      </w:pPr>
      <w:r>
        <w:rPr>
          <w:sz w:val="22"/>
          <w:szCs w:val="22"/>
        </w:rPr>
        <w:t xml:space="preserve">Achieve &gt;80% detection precision, &gt;75% recall, &gt;60% Top-1 root cause accuracy, and &lt;5-minute detection latency</w:t>
      </w:r>
    </w:p>
    <w:p>
      <w:pPr>
        <w:pStyle w:val="ListParagraph"/>
        <w:numPr>
          <w:ilvl w:val="0"/>
          <w:numId w:val="2"/>
        </w:numPr>
        <w:spacing w:before="40" w:after="40"/>
      </w:pPr>
      <w:r>
        <w:rPr>
          <w:sz w:val="22"/>
          <w:szCs w:val="22"/>
        </w:rPr>
        <w:t xml:space="preserve">Support real monitoring integration (Prometheus, CloudWatch) and produce human-readable causal chain reports</w:t>
      </w:r>
    </w:p>
    <w:p>
      <w:pPr>
        <w:pStyle w:val="ListParagraph"/>
        <w:numPr>
          <w:ilvl w:val="0"/>
          <w:numId w:val="2"/>
        </w:numPr>
        <w:spacing w:before="40" w:after="40"/>
      </w:pPr>
      <w:r>
        <w:rPr>
          <w:sz w:val="22"/>
          <w:szCs w:val="22"/>
        </w:rPr>
        <w:t xml:space="preserve">Deploy on modest hardware: &lt;4 GB RAM, 2 CPU cores for inference; GPU only needed for offline training</w:t>
      </w:r>
    </w:p>
    <w:p>
      <w:pPr>
        <w:spacing w:before="80" w:after="80"/>
      </w:pPr>
      <w:r>
        <w:t xml:space="preserve"/>
      </w:r>
    </w:p>
    <w:p>
      <w:pPr>
        <w:pStyle w:val="Heading3"/>
        <w:spacing w:before="200" w:after="80"/>
      </w:pPr>
      <w:r>
        <w:rPr>
          <w:b/>
          <w:bCs/>
          <w:color w:val="2F5496"/>
          <w:sz w:val="24"/>
          <w:szCs w:val="24"/>
        </w:rPr>
        <w:t xml:space="preserve">Datasets, Data Types &amp; Availability</w:t>
      </w:r>
    </w:p>
    <w:p>
      <w:pPr>
        <w:pStyle w:val="ListParagraph"/>
        <w:numPr>
          <w:ilvl w:val="0"/>
          <w:numId w:val="2"/>
        </w:numPr>
        <w:spacing w:before="40" w:after="40"/>
      </w:pPr>
      <w:r>
        <w:rPr>
          <w:sz w:val="22"/>
          <w:szCs w:val="22"/>
        </w:rPr>
        <w:t xml:space="preserve">Primary: Time-series metrics (CPU, memory, disk, network, application KPIs) sampled at 1–5 minute intervals</w:t>
      </w:r>
    </w:p>
    <w:p>
      <w:pPr>
        <w:pStyle w:val="ListParagraph"/>
        <w:numPr>
          <w:ilvl w:val="0"/>
          <w:numId w:val="2"/>
        </w:numPr>
        <w:spacing w:before="40" w:after="40"/>
      </w:pPr>
      <w:r>
        <w:rPr>
          <w:sz w:val="22"/>
          <w:szCs w:val="22"/>
        </w:rPr>
        <w:t xml:space="preserve">Secondary: Deployment event logs, configuration change records, CI/CD webhooks</w:t>
      </w:r>
    </w:p>
    <w:p>
      <w:pPr>
        <w:pStyle w:val="ListParagraph"/>
        <w:numPr>
          <w:ilvl w:val="0"/>
          <w:numId w:val="2"/>
        </w:numPr>
        <w:spacing w:before="40" w:after="40"/>
      </w:pPr>
      <w:r>
        <w:rPr>
          <w:sz w:val="22"/>
          <w:szCs w:val="22"/>
        </w:rPr>
        <w:t xml:space="preserve">Availability: Prometheus/CloudWatch APIs for real metrics; NASA and Azure public anomaly benchmarks for evaluation; synthetic failure generator for development</w:t>
      </w:r>
    </w:p>
    <w:p>
      <w:pPr>
        <w:pStyle w:val="ListParagraph"/>
        <w:numPr>
          <w:ilvl w:val="0"/>
          <w:numId w:val="2"/>
        </w:numPr>
        <w:spacing w:before="40" w:after="40"/>
      </w:pPr>
      <w:r>
        <w:rPr>
          <w:sz w:val="22"/>
          <w:szCs w:val="22"/>
        </w:rPr>
        <w:t xml:space="preserve">Data concern: No labeled root-cause ground truth exists in most real environments—this is the primary data risk</w:t>
      </w:r>
    </w:p>
    <w:p>
      <w:pPr>
        <w:spacing w:before="80" w:after="80"/>
      </w:pPr>
      <w:r>
        <w:t xml:space="preserve"/>
      </w:r>
    </w:p>
    <w:p>
      <w:pPr>
        <w:pStyle w:val="Heading3"/>
        <w:spacing w:before="200" w:after="80"/>
      </w:pPr>
      <w:r>
        <w:rPr>
          <w:b/>
          <w:bCs/>
          <w:color w:val="2F5496"/>
          <w:sz w:val="24"/>
          <w:szCs w:val="24"/>
        </w:rPr>
        <w:t xml:space="preserve">Missing Information / Questions to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4460"/>
      </w:tblGrid>
      <w:tr>
        <w:trPr>
          <w:tblHeader/>
        </w:trPr>
        <w:tc>
          <w:tcPr>
            <w:tcW w:type="dxa" w:w="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w:t>
            </w:r>
          </w:p>
        </w:tc>
        <w:tc>
          <w:tcPr>
            <w:tcW w:type="dxa" w:w="4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Question</w:t>
            </w:r>
          </w:p>
        </w:tc>
        <w:tc>
          <w:tcPr>
            <w:tcW w:type="dxa" w:w="44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Why It Matters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Q1</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What is the target deployment environment—your own production system, a university server, or simulated?</w:t>
            </w:r>
          </w:p>
        </w:tc>
        <w:tc>
          <w:tcPr>
            <w:tcW w:type="dxa" w:w="4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Determines whether real Prometheus integration is feasible within the timeline</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Q2</w:t>
            </w:r>
          </w:p>
        </w:tc>
        <w:tc>
          <w:tcPr>
            <w:tcW w:type="dxa" w:w="4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Is there access to historical incident post-mortem reports for ground truth labeling?</w:t>
            </w:r>
          </w:p>
        </w:tc>
        <w:tc>
          <w:tcPr>
            <w:tcW w:type="dxa" w:w="4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Directly sets Top-1 accuracy achievable and evaluation validity</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Q3</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What GPU resources are available—personal, university HPC, or Google Colab?</w:t>
            </w:r>
          </w:p>
        </w:tc>
        <w:tc>
          <w:tcPr>
            <w:tcW w:type="dxa" w:w="4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Affects LSTM model size and training duration estimates</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Q4</w:t>
            </w:r>
          </w:p>
        </w:tc>
        <w:tc>
          <w:tcPr>
            <w:tcW w:type="dxa" w:w="4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How many microservices / metrics will the MVP target?</w:t>
            </w:r>
          </w:p>
        </w:tc>
        <w:tc>
          <w:tcPr>
            <w:tcW w:type="dxa" w:w="4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Determines scope of causal graph and computational complexity</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Q5</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Is this a solo project or a team of 2–4?</w:t>
            </w:r>
          </w:p>
        </w:tc>
        <w:tc>
          <w:tcPr>
            <w:tcW w:type="dxa" w:w="4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Changes the phase timeline and role allocation significantly</w:t>
            </w:r>
          </w:p>
        </w:tc>
      </w:tr>
    </w:tbl>
    <w:p>
      <w:pPr>
        <w:spacing w:before="80" w:after="80"/>
      </w:pPr>
      <w:r>
        <w:t xml:space="preserve"/>
      </w:r>
    </w:p>
    <w:p>
      <w:pPr>
        <w:pStyle w:val="Heading2"/>
        <w:spacing w:before="280" w:after="120"/>
      </w:pPr>
      <w:r>
        <w:rPr>
          <w:b/>
          <w:bCs/>
          <w:color w:val="2E75B6"/>
          <w:sz w:val="28"/>
          <w:szCs w:val="28"/>
        </w:rPr>
        <w:t xml:space="preserve">2.2 Document 2 — Academic RCA Review (Research Foundation)</w:t>
      </w:r>
    </w:p>
    <w:p>
      <w:pPr>
        <w:pStyle w:val="Heading3"/>
        <w:spacing w:before="200" w:after="80"/>
      </w:pPr>
      <w:r>
        <w:rPr>
          <w:b/>
          <w:bCs/>
          <w:color w:val="2F5496"/>
          <w:sz w:val="24"/>
          <w:szCs w:val="24"/>
        </w:rPr>
        <w:t xml:space="preserve">Key Goals, Constraints &amp; Requirements</w:t>
      </w:r>
    </w:p>
    <w:p>
      <w:pPr>
        <w:pStyle w:val="ListParagraph"/>
        <w:numPr>
          <w:ilvl w:val="0"/>
          <w:numId w:val="2"/>
        </w:numPr>
        <w:spacing w:before="40" w:after="40"/>
      </w:pPr>
      <w:r>
        <w:rPr>
          <w:sz w:val="22"/>
          <w:szCs w:val="22"/>
        </w:rPr>
        <w:t xml:space="preserve">Surveys five architectural families: OOBN, KHBN (CloudRCA), Hybrid KG+CBN, MULAN (multi-modal), and Neural Granger (RUN framework)</w:t>
      </w:r>
    </w:p>
    <w:p>
      <w:pPr>
        <w:pStyle w:val="ListParagraph"/>
        <w:numPr>
          <w:ilvl w:val="0"/>
          <w:numId w:val="2"/>
        </w:numPr>
        <w:spacing w:before="40" w:after="40"/>
      </w:pPr>
      <w:r>
        <w:rPr>
          <w:sz w:val="22"/>
          <w:szCs w:val="22"/>
        </w:rPr>
        <w:t xml:space="preserve">Validates feasibility through real deployments: CloudRCA at Alibaba, KG+CBN in EV manufacturing, AI Vision HOP in smart factories</w:t>
      </w:r>
    </w:p>
    <w:p>
      <w:pPr>
        <w:pStyle w:val="ListParagraph"/>
        <w:numPr>
          <w:ilvl w:val="0"/>
          <w:numId w:val="2"/>
        </w:numPr>
        <w:spacing w:before="40" w:after="40"/>
      </w:pPr>
      <w:r>
        <w:rPr>
          <w:sz w:val="22"/>
          <w:szCs w:val="22"/>
        </w:rPr>
        <w:t xml:space="preserve">Highlights persistent barriers: correlation vs. causation confusion, static models, synthetic-to-real performance gap, data scarcity</w:t>
      </w:r>
    </w:p>
    <w:p>
      <w:pPr>
        <w:pStyle w:val="ListParagraph"/>
        <w:numPr>
          <w:ilvl w:val="0"/>
          <w:numId w:val="2"/>
        </w:numPr>
        <w:spacing w:before="40" w:after="40"/>
      </w:pPr>
      <w:r>
        <w:rPr>
          <w:sz w:val="22"/>
          <w:szCs w:val="22"/>
        </w:rPr>
        <w:t xml:space="preserve">Points to future directions: Explainable AI (XAI), cross-platform transfer learning, human-in-the-loop tools, counterfactual RCA</w:t>
      </w:r>
    </w:p>
    <w:p>
      <w:pPr>
        <w:spacing w:before="80" w:after="80"/>
      </w:pPr>
      <w:r>
        <w:t xml:space="preserve"/>
      </w:r>
    </w:p>
    <w:p>
      <w:pPr>
        <w:pStyle w:val="Heading3"/>
        <w:spacing w:before="200" w:after="80"/>
      </w:pPr>
      <w:r>
        <w:rPr>
          <w:b/>
          <w:bCs/>
          <w:color w:val="2F5496"/>
          <w:sz w:val="24"/>
          <w:szCs w:val="24"/>
        </w:rPr>
        <w:t xml:space="preserve">Important Datasets &amp; Data Availability</w:t>
      </w:r>
    </w:p>
    <w:p>
      <w:pPr>
        <w:pStyle w:val="ListParagraph"/>
        <w:numPr>
          <w:ilvl w:val="0"/>
          <w:numId w:val="2"/>
        </w:numPr>
        <w:spacing w:before="40" w:after="40"/>
      </w:pPr>
      <w:r>
        <w:rPr>
          <w:sz w:val="22"/>
          <w:szCs w:val="22"/>
        </w:rPr>
        <w:t xml:space="preserve">CloudRCA: MaxCompute, Realtime Compute, Hologres monitoring data from Alibaba—not publicly available</w:t>
      </w:r>
    </w:p>
    <w:p>
      <w:pPr>
        <w:pStyle w:val="ListParagraph"/>
        <w:numPr>
          <w:ilvl w:val="0"/>
          <w:numId w:val="2"/>
        </w:numPr>
        <w:spacing w:before="40" w:after="40"/>
      </w:pPr>
      <w:r>
        <w:rPr>
          <w:sz w:val="22"/>
          <w:szCs w:val="22"/>
        </w:rPr>
        <w:t xml:space="preserve">Public datasets referenced: NASA anomaly benchmark, Azure public dataset, open microservice trace datasets (AIOps challenge datasets)</w:t>
      </w:r>
    </w:p>
    <w:p>
      <w:pPr>
        <w:pStyle w:val="ListParagraph"/>
        <w:numPr>
          <w:ilvl w:val="0"/>
          <w:numId w:val="2"/>
        </w:numPr>
        <w:spacing w:before="40" w:after="40"/>
      </w:pPr>
      <w:r>
        <w:rPr>
          <w:sz w:val="22"/>
          <w:szCs w:val="22"/>
        </w:rPr>
        <w:t xml:space="preserve">Academic validation: PC algorithm, Granger causality, PageRank-based root cause ranking all have open implementations</w:t>
      </w:r>
    </w:p>
    <w:p>
      <w:pPr>
        <w:spacing w:before="80" w:after="80"/>
      </w:pPr>
      <w:r>
        <w:t xml:space="preserve"/>
      </w:r>
    </w:p>
    <w:p>
      <w:pPr>
        <w:pStyle w:val="Heading3"/>
        <w:spacing w:before="200" w:after="80"/>
      </w:pPr>
      <w:r>
        <w:rPr>
          <w:b/>
          <w:bCs/>
          <w:color w:val="2F5496"/>
          <w:sz w:val="24"/>
          <w:szCs w:val="24"/>
        </w:rPr>
        <w:t xml:space="preserve">Missing Information / Ambiguities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00"/>
        <w:gridCol w:w="4460"/>
      </w:tblGrid>
      <w:tr>
        <w:trPr>
          <w:tblHeader/>
        </w:trPr>
        <w:tc>
          <w:tcPr>
            <w:tcW w:type="dxa" w:w="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w:t>
            </w:r>
          </w:p>
        </w:tc>
        <w:tc>
          <w:tcPr>
            <w:tcW w:type="dxa" w:w="4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Ambiguity</w:t>
            </w:r>
          </w:p>
        </w:tc>
        <w:tc>
          <w:tcPr>
            <w:tcW w:type="dxa" w:w="44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Recommended Resolution</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A1</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MULAN and RUN performance numbers are not compared on the same benchmark</w:t>
            </w:r>
          </w:p>
        </w:tc>
        <w:tc>
          <w:tcPr>
            <w:tcW w:type="dxa" w:w="4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Use AIOps 2020/2021 microservice datasets as a common baseline</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A2</w:t>
            </w:r>
          </w:p>
        </w:tc>
        <w:tc>
          <w:tcPr>
            <w:tcW w:type="dxa" w:w="4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Transfer learning accuracy gains (+10%) are platform-specific and may not generalise</w:t>
            </w:r>
          </w:p>
        </w:tc>
        <w:tc>
          <w:tcPr>
            <w:tcW w:type="dxa" w:w="4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Treat transfer learning as a stretch goal, not MVP requirement</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A3</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OOBN is validated for aviation—applicability to cloud microservices is unconfirmed</w:t>
            </w:r>
          </w:p>
        </w:tc>
        <w:tc>
          <w:tcPr>
            <w:tcW w:type="dxa" w:w="4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Use KHBN (CloudRCA) as primary architecture for cloud context</w:t>
            </w:r>
          </w:p>
        </w:tc>
      </w:tr>
    </w:tbl>
    <w:p>
      <w:pPr>
        <w:spacing w:before="80" w:after="80"/>
      </w:pPr>
      <w:r>
        <w:t xml:space="preserve"/>
      </w:r>
    </w:p>
    <w:p>
      <w:pPr>
        <w:pStyle w:val="Heading2"/>
        <w:spacing w:before="280" w:after="120"/>
      </w:pPr>
      <w:r>
        <w:rPr>
          <w:b/>
          <w:bCs/>
          <w:color w:val="2E75B6"/>
          <w:sz w:val="28"/>
          <w:szCs w:val="28"/>
        </w:rPr>
        <w:t xml:space="preserve">2.3 Combined Synthesis: Overlap, Conflicts &amp; Complementarity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Dimension</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Document 1 (Project Spec)</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Document 2 (Research Review)</w:t>
            </w:r>
          </w:p>
        </w:tc>
        <w:tc>
          <w:tcPr>
            <w:tcW w:type="dxa" w:w="3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Resolution</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Causal method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Granger causality + PC algorithm</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Validates both; adds neural Granger (RUN) and KHBN as superior alternatives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Implement classic Granger for MVP; add KHBN as distinction milestone</w:t>
            </w:r>
          </w:p>
        </w:tc>
      </w:tr>
      <w:tr>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Architecture</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LSTM autoencoder + causal graph</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Confirms effectiveness; recommends multi-modal (metrics + logs)</w:t>
            </w:r>
          </w:p>
        </w:tc>
        <w:tc>
          <w:tcPr>
            <w:tcW w:type="dxa" w:w="3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Add log-based anomaly scoring as stretch goal</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Feasibility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85% feasible (Document 1's own estimate)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Notes synthetic-to-real gap and no universally superior method</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Validate on ≥2 public benchmarks, not synthetic data alone</w:t>
            </w:r>
          </w:p>
        </w:tc>
      </w:tr>
      <w:tr>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Human loop</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Not mentioned</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Strongly advocates human-in-the-loop refinement</w:t>
            </w:r>
          </w:p>
        </w:tc>
        <w:tc>
          <w:tcPr>
            <w:tcW w:type="dxa" w:w="3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Add expert feedback UI as distinction-level feature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Data concern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Acknowledges missing labeled data</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Details the 'low credibility' trap with limited data</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Synthetic failure generator is the correct mitigation</w:t>
            </w:r>
          </w:p>
        </w:tc>
      </w:tr>
      <w:tr>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Explainability</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Attention mechanisms mentioned</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XAI as a major future direction</w:t>
            </w:r>
          </w:p>
        </w:tc>
        <w:tc>
          <w:tcPr>
            <w:tcW w:type="dxa" w:w="3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Build explanation module; cite CALIME and GFI techniques</w:t>
            </w:r>
          </w:p>
        </w:tc>
      </w:tr>
    </w:tbl>
    <w:p>
      <w:pPr>
        <w:spacing w:before="80" w:after="80"/>
      </w:pPr>
      <w:r>
        <w:t xml:space="preserve"/>
      </w:r>
    </w:p>
    <w:p>
      <w:pPr>
        <w:pStyle w:val="Heading1"/>
        <w:pBdr>
          <w:bottom w:val="single" w:color="2E75B6" w:sz="6" w:space="1"/>
        </w:pBdr>
        <w:spacing w:before="360" w:after="180"/>
      </w:pPr>
      <w:r>
        <w:rPr>
          <w:b/>
          <w:bCs/>
          <w:color w:val="1F4E79"/>
          <w:sz w:val="36"/>
          <w:szCs w:val="36"/>
        </w:rPr>
        <w:t xml:space="preserve">3. Architecture Proposal</w:t>
      </w:r>
    </w:p>
    <w:p>
      <w:pPr>
        <w:pStyle w:val="Heading2"/>
        <w:spacing w:before="280" w:after="120"/>
      </w:pPr>
      <w:r>
        <w:rPr>
          <w:b/>
          <w:bCs/>
          <w:color w:val="2E75B6"/>
          <w:sz w:val="28"/>
          <w:szCs w:val="28"/>
        </w:rPr>
        <w:t xml:space="preserve">3.1 High-Level Architecture (Data Flow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pPr>
              <w:spacing w:before="40" w:after="40"/>
            </w:pPr>
            <w:r>
              <w:rPr>
                <w:b/>
                <w:bCs/>
                <w:sz w:val="22"/>
                <w:szCs w:val="22"/>
              </w:rPr>
              <w:t xml:space="preserve">📐 Architecture Overview:  </w:t>
            </w:r>
            <w:r>
              <w:rPr>
                <w:sz w:val="22"/>
                <w:szCs w:val="22"/>
              </w:rPr>
              <w:t xml:space="preserve">Six loosely coupled modules communicate via an internal event bus. Data flows left-to-right: ingest → preprocess → detect → infer → rank → serve. All modules write to a shared time-series store; the serving layer reads from it and the causal graph store.</w:t>
            </w:r>
          </w:p>
        </w:tc>
      </w:tr>
    </w:tbl>
    <w:p>
      <w:pPr>
        <w:spacing w:before="80" w:after="80"/>
      </w:pPr>
      <w:r>
        <w:t xml:space="preserve"/>
      </w:r>
    </w:p>
    <w:p>
      <w:pPr>
        <w:pStyle w:val="Heading3"/>
        <w:spacing w:before="200" w:after="80"/>
      </w:pPr>
      <w:r>
        <w:rPr>
          <w:b/>
          <w:bCs/>
          <w:color w:val="2F5496"/>
          <w:sz w:val="24"/>
          <w:szCs w:val="24"/>
        </w:rPr>
        <w:t xml:space="preserve">Module 1 — Data Ingestion Layer</w:t>
      </w:r>
    </w:p>
    <w:p>
      <w:pPr>
        <w:pStyle w:val="ListParagraph"/>
        <w:numPr>
          <w:ilvl w:val="0"/>
          <w:numId w:val="2"/>
        </w:numPr>
        <w:spacing w:before="40" w:after="40"/>
      </w:pPr>
      <w:r>
        <w:rPr>
          <w:sz w:val="22"/>
          <w:szCs w:val="22"/>
        </w:rPr>
        <w:t xml:space="preserve">Sources: Prometheus /metrics endpoint (pull), CloudWatch GetMetricData API (pull), CI/CD webhook events (push), application log streams</w:t>
      </w:r>
    </w:p>
    <w:p>
      <w:pPr>
        <w:pStyle w:val="ListParagraph"/>
        <w:numPr>
          <w:ilvl w:val="0"/>
          <w:numId w:val="2"/>
        </w:numPr>
        <w:spacing w:before="40" w:after="40"/>
      </w:pPr>
      <w:r>
        <w:rPr>
          <w:sz w:val="22"/>
          <w:szCs w:val="22"/>
        </w:rPr>
        <w:t xml:space="preserve">Output: Raw JSON time-series records written to an append-only buffer (Redis Streams or Kafka topic)</w:t>
      </w:r>
    </w:p>
    <w:p>
      <w:pPr>
        <w:pStyle w:val="ListParagraph"/>
        <w:numPr>
          <w:ilvl w:val="0"/>
          <w:numId w:val="2"/>
        </w:numPr>
        <w:spacing w:before="40" w:after="40"/>
      </w:pPr>
      <w:r>
        <w:rPr>
          <w:sz w:val="22"/>
          <w:szCs w:val="22"/>
        </w:rPr>
        <w:t xml:space="preserve">Latency target: &lt;10 seconds from metric emission to buffer</w:t>
      </w:r>
    </w:p>
    <w:p>
      <w:pPr>
        <w:pStyle w:val="ListParagraph"/>
        <w:numPr>
          <w:ilvl w:val="0"/>
          <w:numId w:val="2"/>
        </w:numPr>
        <w:spacing w:before="40" w:after="40"/>
      </w:pPr>
      <w:r>
        <w:rPr>
          <w:sz w:val="22"/>
          <w:szCs w:val="22"/>
        </w:rPr>
        <w:t xml:space="preserve">Implementation: Python asyncio collector scripts; one collector per data source</w:t>
      </w:r>
    </w:p>
    <w:p>
      <w:pPr>
        <w:spacing w:before="80" w:after="80"/>
      </w:pPr>
      <w:r>
        <w:t xml:space="preserve"/>
      </w:r>
    </w:p>
    <w:p>
      <w:pPr>
        <w:pStyle w:val="Heading3"/>
        <w:spacing w:before="200" w:after="80"/>
      </w:pPr>
      <w:r>
        <w:rPr>
          <w:b/>
          <w:bCs/>
          <w:color w:val="2F5496"/>
          <w:sz w:val="24"/>
          <w:szCs w:val="24"/>
        </w:rPr>
        <w:t xml:space="preserve">Module 2 — Preprocessing Pipeline</w:t>
      </w:r>
    </w:p>
    <w:p>
      <w:pPr>
        <w:pStyle w:val="ListParagraph"/>
        <w:numPr>
          <w:ilvl w:val="0"/>
          <w:numId w:val="2"/>
        </w:numPr>
        <w:spacing w:before="40" w:after="40"/>
      </w:pPr>
      <w:r>
        <w:rPr>
          <w:sz w:val="22"/>
          <w:szCs w:val="22"/>
        </w:rPr>
        <w:t xml:space="preserve">Forward-fill gaps &lt;5 min; linear interpolate 5–30 min gaps; flag &gt;30 min gaps as missing</w:t>
      </w:r>
    </w:p>
    <w:p>
      <w:pPr>
        <w:pStyle w:val="ListParagraph"/>
        <w:numPr>
          <w:ilvl w:val="0"/>
          <w:numId w:val="2"/>
        </w:numPr>
        <w:spacing w:before="40" w:after="40"/>
      </w:pPr>
      <w:r>
        <w:rPr>
          <w:sz w:val="22"/>
          <w:szCs w:val="22"/>
        </w:rPr>
        <w:t xml:space="preserve">Z-score normalise per-metric using rolling 7-day mean/std stored in PostgreSQL</w:t>
      </w:r>
    </w:p>
    <w:p>
      <w:pPr>
        <w:pStyle w:val="ListParagraph"/>
        <w:numPr>
          <w:ilvl w:val="0"/>
          <w:numId w:val="2"/>
        </w:numPr>
        <w:spacing w:before="40" w:after="40"/>
      </w:pPr>
      <w:r>
        <w:rPr>
          <w:sz w:val="22"/>
          <w:szCs w:val="22"/>
        </w:rPr>
        <w:t xml:space="preserve">Sliding window segmentation: 60-step windows (1-hr at 1-min resolution) with 50% overlap</w:t>
      </w:r>
    </w:p>
    <w:p>
      <w:pPr>
        <w:pStyle w:val="ListParagraph"/>
        <w:numPr>
          <w:ilvl w:val="0"/>
          <w:numId w:val="2"/>
        </w:numPr>
        <w:spacing w:before="40" w:after="40"/>
      </w:pPr>
      <w:r>
        <w:rPr>
          <w:sz w:val="22"/>
          <w:szCs w:val="22"/>
        </w:rPr>
        <w:t xml:space="preserve">Output: NumPy arrays of shape (batch, 60, n_metrics) stored in HDF5 format</w:t>
      </w:r>
    </w:p>
    <w:p>
      <w:pPr>
        <w:spacing w:before="80" w:after="80"/>
      </w:pPr>
      <w:r>
        <w:t xml:space="preserve"/>
      </w:r>
    </w:p>
    <w:p>
      <w:pPr>
        <w:pStyle w:val="Heading3"/>
        <w:spacing w:before="200" w:after="80"/>
      </w:pPr>
      <w:r>
        <w:rPr>
          <w:b/>
          <w:bCs/>
          <w:color w:val="2F5496"/>
          <w:sz w:val="24"/>
          <w:szCs w:val="24"/>
        </w:rPr>
        <w:t xml:space="preserve">Module 3 — Deep Learning Engine (Anomaly Detection)</w:t>
      </w:r>
    </w:p>
    <w:p>
      <w:pPr>
        <w:pStyle w:val="ListParagraph"/>
        <w:numPr>
          <w:ilvl w:val="0"/>
          <w:numId w:val="2"/>
        </w:numPr>
        <w:spacing w:before="40" w:after="40"/>
      </w:pPr>
      <w:r>
        <w:rPr>
          <w:sz w:val="22"/>
          <w:szCs w:val="22"/>
        </w:rPr>
        <w:t xml:space="preserve">Model: LSTM Autoencoder with 2-layer encoder (128→64 units) and symmetric decoder</w:t>
      </w:r>
    </w:p>
    <w:p>
      <w:pPr>
        <w:pStyle w:val="ListParagraph"/>
        <w:numPr>
          <w:ilvl w:val="0"/>
          <w:numId w:val="2"/>
        </w:numPr>
        <w:spacing w:before="40" w:after="40"/>
      </w:pPr>
      <w:r>
        <w:rPr>
          <w:sz w:val="22"/>
          <w:szCs w:val="22"/>
        </w:rPr>
        <w:t xml:space="preserve">Training mode: Unsupervised on 30–90 days of healthy metric data; no failure labels required</w:t>
      </w:r>
    </w:p>
    <w:p>
      <w:pPr>
        <w:pStyle w:val="ListParagraph"/>
        <w:numPr>
          <w:ilvl w:val="0"/>
          <w:numId w:val="2"/>
        </w:numPr>
        <w:spacing w:before="40" w:after="40"/>
      </w:pPr>
      <w:r>
        <w:rPr>
          <w:sz w:val="22"/>
          <w:szCs w:val="22"/>
        </w:rPr>
        <w:t xml:space="preserve">Inference: Reconstruction error per metric window → anomaly score ∈ [0,1] via sigmoid</w:t>
      </w:r>
    </w:p>
    <w:p>
      <w:pPr>
        <w:pStyle w:val="ListParagraph"/>
        <w:numPr>
          <w:ilvl w:val="0"/>
          <w:numId w:val="2"/>
        </w:numPr>
        <w:spacing w:before="40" w:after="40"/>
      </w:pPr>
      <w:r>
        <w:rPr>
          <w:sz w:val="22"/>
          <w:szCs w:val="22"/>
        </w:rPr>
        <w:t xml:space="preserve">Threshold: 99th-percentile reconstruction error on held-out healthy validation set</w:t>
      </w:r>
    </w:p>
    <w:p>
      <w:pPr>
        <w:pStyle w:val="ListParagraph"/>
        <w:numPr>
          <w:ilvl w:val="0"/>
          <w:numId w:val="2"/>
        </w:numPr>
        <w:spacing w:before="40" w:after="40"/>
      </w:pPr>
      <w:r>
        <w:rPr>
          <w:sz w:val="22"/>
          <w:szCs w:val="22"/>
        </w:rPr>
        <w:t xml:space="preserve">Optional upgrade (distinction level): Transformer-based autoencoder for longer temporal dependencies</w:t>
      </w:r>
    </w:p>
    <w:p>
      <w:pPr>
        <w:spacing w:before="80" w:after="80"/>
      </w:pPr>
      <w:r>
        <w:t xml:space="preserve"/>
      </w:r>
    </w:p>
    <w:p>
      <w:pPr>
        <w:pStyle w:val="Heading3"/>
        <w:spacing w:before="200" w:after="80"/>
      </w:pPr>
      <w:r>
        <w:rPr>
          <w:b/>
          <w:bCs/>
          <w:color w:val="2F5496"/>
          <w:sz w:val="24"/>
          <w:szCs w:val="24"/>
        </w:rPr>
        <w:t xml:space="preserve">Module 4 — Causal Inference Engine</w:t>
      </w:r>
    </w:p>
    <w:p>
      <w:pPr>
        <w:pStyle w:val="ListParagraph"/>
        <w:numPr>
          <w:ilvl w:val="0"/>
          <w:numId w:val="2"/>
        </w:numPr>
        <w:spacing w:before="40" w:after="40"/>
      </w:pPr>
      <w:r>
        <w:rPr>
          <w:sz w:val="22"/>
          <w:szCs w:val="22"/>
        </w:rPr>
        <w:t xml:space="preserve">Step 1 — Candidate selection: Keep metrics with anomaly score &gt;0.5</w:t>
      </w:r>
    </w:p>
    <w:p>
      <w:pPr>
        <w:pStyle w:val="ListParagraph"/>
        <w:numPr>
          <w:ilvl w:val="0"/>
          <w:numId w:val="2"/>
        </w:numPr>
        <w:spacing w:before="40" w:after="40"/>
      </w:pPr>
      <w:r>
        <w:rPr>
          <w:sz w:val="22"/>
          <w:szCs w:val="22"/>
        </w:rPr>
        <w:t xml:space="preserve">Step 2 — Granger causality: For all pairs of candidate metrics, compute Granger F-test with lags 1–6 (statsmodels); p &lt; 0.05 threshold</w:t>
      </w:r>
    </w:p>
    <w:p>
      <w:pPr>
        <w:pStyle w:val="ListParagraph"/>
        <w:numPr>
          <w:ilvl w:val="0"/>
          <w:numId w:val="2"/>
        </w:numPr>
        <w:spacing w:before="40" w:after="40"/>
      </w:pPr>
      <w:r>
        <w:rPr>
          <w:sz w:val="22"/>
          <w:szCs w:val="22"/>
        </w:rPr>
        <w:t xml:space="preserve">Step 3 — Causal graph: Build directed graph (NetworkX) with edges representing Granger-causal relationships; apply PC algorithm (causal-learn library) to orient edges</w:t>
      </w:r>
    </w:p>
    <w:p>
      <w:pPr>
        <w:pStyle w:val="ListParagraph"/>
        <w:numPr>
          <w:ilvl w:val="0"/>
          <w:numId w:val="2"/>
        </w:numPr>
        <w:spacing w:before="40" w:after="40"/>
      </w:pPr>
      <w:r>
        <w:rPr>
          <w:sz w:val="22"/>
          <w:szCs w:val="22"/>
        </w:rPr>
        <w:t xml:space="preserve">Step 4 — Event correlation: Join CI/CD events (deployments, config changes) with anomaly onset timestamps; correlation window ±30 minutes</w:t>
      </w:r>
    </w:p>
    <w:p>
      <w:pPr>
        <w:spacing w:before="80" w:after="80"/>
      </w:pPr>
      <w:r>
        <w:t xml:space="preserve"/>
      </w:r>
    </w:p>
    <w:p>
      <w:pPr>
        <w:pStyle w:val="Heading3"/>
        <w:spacing w:before="200" w:after="80"/>
      </w:pPr>
      <w:r>
        <w:rPr>
          <w:b/>
          <w:bCs/>
          <w:color w:val="2F5496"/>
          <w:sz w:val="24"/>
          <w:szCs w:val="24"/>
        </w:rPr>
        <w:t xml:space="preserve">Module 5 — Root Cause Ranker</w:t>
      </w:r>
    </w:p>
    <w:p>
      <w:pPr>
        <w:pStyle w:val="ListParagraph"/>
        <w:numPr>
          <w:ilvl w:val="0"/>
          <w:numId w:val="2"/>
        </w:numPr>
        <w:spacing w:before="40" w:after="40"/>
      </w:pPr>
      <w:r>
        <w:rPr>
          <w:sz w:val="22"/>
          <w:szCs w:val="22"/>
        </w:rPr>
        <w:t xml:space="preserve">Score each candidate node: Causal Outflow (out-degree) − Causal Inflow (in-degree) + Temporal Priority (1/rank of anomaly onset) + Event Bonus (0.3 if deployment within window)</w:t>
      </w:r>
    </w:p>
    <w:p>
      <w:pPr>
        <w:pStyle w:val="ListParagraph"/>
        <w:numPr>
          <w:ilvl w:val="0"/>
          <w:numId w:val="2"/>
        </w:numPr>
        <w:spacing w:before="40" w:after="40"/>
      </w:pPr>
      <w:r>
        <w:rPr>
          <w:sz w:val="22"/>
          <w:szCs w:val="22"/>
        </w:rPr>
        <w:t xml:space="preserve">Produce ranked list with confidence scores normalised to sum to 1.0</w:t>
      </w:r>
    </w:p>
    <w:p>
      <w:pPr>
        <w:pStyle w:val="ListParagraph"/>
        <w:numPr>
          <w:ilvl w:val="0"/>
          <w:numId w:val="2"/>
        </w:numPr>
        <w:spacing w:before="40" w:after="40"/>
      </w:pPr>
      <w:r>
        <w:rPr>
          <w:sz w:val="22"/>
          <w:szCs w:val="22"/>
        </w:rPr>
        <w:t xml:space="preserve">Optional upgrade: Replace heuristic scoring with personalised PageRank (as used in RUN framework) for higher accuracy</w:t>
      </w:r>
    </w:p>
    <w:p>
      <w:pPr>
        <w:spacing w:before="80" w:after="80"/>
      </w:pPr>
      <w:r>
        <w:t xml:space="preserve"/>
      </w:r>
    </w:p>
    <w:p>
      <w:pPr>
        <w:pStyle w:val="Heading3"/>
        <w:spacing w:before="200" w:after="80"/>
      </w:pPr>
      <w:r>
        <w:rPr>
          <w:b/>
          <w:bCs/>
          <w:color w:val="2F5496"/>
          <w:sz w:val="24"/>
          <w:szCs w:val="24"/>
        </w:rPr>
        <w:t xml:space="preserve">Module 6 — Report Generation &amp; Serving</w:t>
      </w:r>
    </w:p>
    <w:p>
      <w:pPr>
        <w:pStyle w:val="ListParagraph"/>
        <w:numPr>
          <w:ilvl w:val="0"/>
          <w:numId w:val="2"/>
        </w:numPr>
        <w:spacing w:before="40" w:after="40"/>
      </w:pPr>
      <w:r>
        <w:rPr>
          <w:sz w:val="22"/>
          <w:szCs w:val="22"/>
        </w:rPr>
        <w:t xml:space="preserve">REST API (FastAPI) exposes: POST /analyze (trigger on-demand RCA), GET /report/{incident_id} (retrieve results), GET /health</w:t>
      </w:r>
    </w:p>
    <w:p>
      <w:pPr>
        <w:pStyle w:val="ListParagraph"/>
        <w:numPr>
          <w:ilvl w:val="0"/>
          <w:numId w:val="2"/>
        </w:numPr>
        <w:spacing w:before="40" w:after="40"/>
      </w:pPr>
      <w:r>
        <w:rPr>
          <w:sz w:val="22"/>
          <w:szCs w:val="22"/>
        </w:rPr>
        <w:t xml:space="preserve">Report format: JSON + Markdown causal chain; human-readable NLG narrative generated via template engine</w:t>
      </w:r>
    </w:p>
    <w:p>
      <w:pPr>
        <w:pStyle w:val="ListParagraph"/>
        <w:numPr>
          <w:ilvl w:val="0"/>
          <w:numId w:val="2"/>
        </w:numPr>
        <w:spacing w:before="40" w:after="40"/>
      </w:pPr>
      <w:r>
        <w:rPr>
          <w:sz w:val="22"/>
          <w:szCs w:val="22"/>
        </w:rPr>
        <w:t xml:space="preserve">Dashboard: Streamlit or Grafana panel showing anomaly timeline, causal graph (D3.js), ranked root causes</w:t>
      </w:r>
    </w:p>
    <w:p>
      <w:pPr>
        <w:spacing w:before="80" w:after="80"/>
      </w:pPr>
      <w:r>
        <w:t xml:space="preserve"/>
      </w:r>
    </w:p>
    <w:p>
      <w:pPr>
        <w:pStyle w:val="Heading2"/>
        <w:spacing w:before="280" w:after="120"/>
      </w:pPr>
      <w:r>
        <w:rPr>
          <w:b/>
          <w:bCs/>
          <w:color w:val="2E75B6"/>
          <w:sz w:val="28"/>
          <w:szCs w:val="28"/>
        </w:rPr>
        <w:t xml:space="preserve">3.2 Recommended Model Architecture &amp;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Component</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Recommended Model</w:t>
            </w:r>
          </w:p>
        </w:tc>
        <w:tc>
          <w:tcPr>
            <w:tcW w:type="dxa" w:w="5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Why / Trade-off</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Anomaly detection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LSTM Autoencoder</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Best for temporal sequential dependencies; unsupervised; well-validated for time-series. Trade-off: slower to train than Prophet/STL but catches complex patterns</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Causal inference</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Granger causality + PC algorithm (MVP); KHBN (distinction)</w:t>
            </w:r>
          </w:p>
        </w:tc>
        <w:tc>
          <w:tcPr>
            <w:tcW w:type="dxa" w:w="5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Granger is interpretable and fast; PC provides causal direction. KHBN adds topology knowledge for higher accuracy but requires CMDB data</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Root cause ranking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Heuristic scoring (MVP); Personalised PageRank (distinction)</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Heuristic is transparent and debuggable; PageRank handles graph structure better but adds complexity</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Log processing</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Regex template matching / Drain3 (MVP); Transformer encoder (stretch)</w:t>
            </w:r>
          </w:p>
        </w:tc>
        <w:tc>
          <w:tcPr>
            <w:tcW w:type="dxa" w:w="5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Drain3 is production-proven for log parsing with no training data needed</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Explanation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Attention weight visualisation + causal chain template</w:t>
            </w:r>
          </w:p>
        </w:tc>
        <w:tc>
          <w:tcPr>
            <w:tcW w:type="dxa" w:w="5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Directly interpretable; satisfies XAI requirements without a separate model</w:t>
            </w:r>
          </w:p>
        </w:tc>
      </w:tr>
    </w:tbl>
    <w:p>
      <w:pPr>
        <w:spacing w:before="80" w:after="80"/>
      </w:pPr>
      <w:r>
        <w:t xml:space="preserve"/>
      </w:r>
    </w:p>
    <w:p>
      <w:pPr>
        <w:pStyle w:val="Heading2"/>
        <w:spacing w:before="280" w:after="120"/>
      </w:pPr>
      <w:r>
        <w:rPr>
          <w:b/>
          <w:bCs/>
          <w:color w:val="2E75B6"/>
          <w:sz w:val="28"/>
          <w:szCs w:val="28"/>
        </w:rPr>
        <w:t xml:space="preserve">3.3 Data Schemas &amp; Storage</w:t>
      </w:r>
    </w:p>
    <w:p>
      <w:pPr>
        <w:pStyle w:val="Heading3"/>
        <w:spacing w:before="200" w:after="80"/>
      </w:pPr>
      <w:r>
        <w:rPr>
          <w:b/>
          <w:bCs/>
          <w:color w:val="2F5496"/>
          <w:sz w:val="24"/>
          <w:szCs w:val="24"/>
        </w:rPr>
        <w:t xml:space="preserve">Time-Series Metric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0F0F0" w:val="clear"/>
            <w:tcMar>
              <w:top w:type="dxa" w:w="100"/>
              <w:left w:type="dxa" w:w="180"/>
              <w:bottom w:type="dxa" w:w="100"/>
              <w:right w:type="dxa" w:w="120"/>
            </w:tcMar>
          </w:tcPr>
          <w:p>
            <w:pPr>
              <w:spacing w:before="40" w:after="40"/>
            </w:pPr>
            <w:r>
              <w:rPr>
                <w:b/>
                <w:bCs/>
                <w:sz w:val="22"/>
                <w:szCs w:val="22"/>
              </w:rPr>
              <w:t xml:space="preserve">Schema:  </w:t>
            </w:r>
            <w:r>
              <w:rPr>
                <w:sz w:val="22"/>
                <w:szCs w:val="22"/>
              </w:rPr>
              <w:t xml:space="preserve">{ timestamp: ISO8601, host: string, service: string, metric_name: string, value: float, unit: string, tags: {env, region, cluster} }</w:t>
            </w:r>
          </w:p>
        </w:tc>
      </w:tr>
    </w:tbl>
    <w:p>
      <w:pPr>
        <w:spacing w:before="80" w:after="80"/>
      </w:pPr>
      <w:r>
        <w:t xml:space="preserve"/>
      </w:r>
    </w:p>
    <w:p>
      <w:pPr>
        <w:pStyle w:val="Heading3"/>
        <w:spacing w:before="200" w:after="80"/>
      </w:pPr>
      <w:r>
        <w:rPr>
          <w:b/>
          <w:bCs/>
          <w:color w:val="2F5496"/>
          <w:sz w:val="24"/>
          <w:szCs w:val="24"/>
        </w:rPr>
        <w:t xml:space="preserve">Incident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0F0F0" w:val="clear"/>
            <w:tcMar>
              <w:top w:type="dxa" w:w="100"/>
              <w:left w:type="dxa" w:w="180"/>
              <w:bottom w:type="dxa" w:w="100"/>
              <w:right w:type="dxa" w:w="120"/>
            </w:tcMar>
          </w:tcPr>
          <w:p>
            <w:pPr>
              <w:spacing w:before="40" w:after="40"/>
            </w:pPr>
            <w:r>
              <w:rPr>
                <w:b/>
                <w:bCs/>
                <w:sz w:val="22"/>
                <w:szCs w:val="22"/>
              </w:rPr>
              <w:t xml:space="preserve">Schema:  </w:t>
            </w:r>
            <w:r>
              <w:rPr>
                <w:sz w:val="22"/>
                <w:szCs w:val="22"/>
              </w:rPr>
              <w:t xml:space="preserve">{ incident_id: UUID, detected_at: ISO8601, status: enum[open,closed], anomalous_metrics: [{name, score, first_seen}], causal_chain: [{from, to, p_value, lag_minutes}], ranked_causes: [{cause, confidence, type}], correlated_events: [{event_type, timestamp, description}] }</w:t>
            </w:r>
          </w:p>
        </w:tc>
      </w:tr>
    </w:tbl>
    <w:p>
      <w:pPr>
        <w:spacing w:before="80" w:after="80"/>
      </w:pPr>
      <w:r>
        <w:t xml:space="preserve"/>
      </w:r>
    </w:p>
    <w:p>
      <w:pPr>
        <w:pStyle w:val="Heading3"/>
        <w:spacing w:before="200" w:after="80"/>
      </w:pPr>
      <w:r>
        <w:rPr>
          <w:b/>
          <w:bCs/>
          <w:color w:val="2F5496"/>
          <w:sz w:val="24"/>
          <w:szCs w:val="24"/>
        </w:rPr>
        <w:t xml:space="preserve">Storage Choices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Data Type</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Storage</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Rationale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Raw metrics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PostgreSQL + TimescaleDB extension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Native time-series compression; SQL queryable; free</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Model checkpoints</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Local filesystem / S3-compatible (MinIO)</w:t>
            </w:r>
          </w:p>
        </w:tc>
        <w:tc>
          <w:tcPr>
            <w:tcW w:type="dxa" w:w="4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Simple; versioned by timestamp</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Causal graphs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NetworkX serialised to JSON / Neo4j (optional)</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JSON sufficient for MVP; Neo4j adds graph query capability</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Incident reports</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PostgreSQL JSONB column</w:t>
            </w:r>
          </w:p>
        </w:tc>
        <w:tc>
          <w:tcPr>
            <w:tcW w:type="dxa" w:w="4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Searchable; no separate document store needed for project scale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Streaming buffer</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Redis Streams (MVP) or Kafka (scale)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Redis is simpler to set up; Kafka for production scale</w:t>
            </w:r>
          </w:p>
        </w:tc>
      </w:tr>
    </w:tbl>
    <w:p>
      <w:pPr>
        <w:spacing w:before="80" w:after="80"/>
      </w:pPr>
      <w:r>
        <w:t xml:space="preserve"/>
      </w:r>
    </w:p>
    <w:p>
      <w:pPr>
        <w:pStyle w:val="Heading2"/>
        <w:spacing w:before="280" w:after="120"/>
      </w:pPr>
      <w:r>
        <w:rPr>
          <w:b/>
          <w:bCs/>
          <w:color w:val="2E75B6"/>
          <w:sz w:val="28"/>
          <w:szCs w:val="28"/>
        </w:rPr>
        <w:t xml:space="preserve">3.4 Component-Level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800"/>
        <w:gridCol w:w="156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Component</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Input</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Output</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Latency Target</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Throughput</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Ingestion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Prometheus scrape / API poll</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JSON records to Redis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&lt;10 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500 metrics/min</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Preprocessing</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Raw JSON records</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Normalised HDF5 windows</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Near-real-time</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Batch: 1000 windows/min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LSTM Inference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60-step metric window</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Anomaly scores per metric</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&lt;2 s per window</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60 windows/min</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Causal Engine</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Anomalous metric set</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Causal graph JSON</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&lt;60 s per incident</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1 incident/min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Ranking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Causal graph + events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Ranked list + confidence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&lt;5 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Synchronous</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REST API</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HTTP request</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JSON report</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&lt;500 ms P95</w:t>
            </w:r>
          </w:p>
        </w:tc>
        <w:tc>
          <w:tcPr>
            <w:tcW w:type="dxa" w:w="1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10 req/s</w:t>
            </w:r>
          </w:p>
        </w:tc>
      </w:tr>
    </w:tbl>
    <w:p>
      <w:pPr>
        <w:spacing w:before="80" w:after="80"/>
      </w:pPr>
      <w:r>
        <w:t xml:space="preserve"/>
      </w:r>
    </w:p>
    <w:p>
      <w:pPr>
        <w:pStyle w:val="Heading1"/>
        <w:pBdr>
          <w:bottom w:val="single" w:color="2E75B6" w:sz="6" w:space="1"/>
        </w:pBdr>
        <w:spacing w:before="360" w:after="180"/>
      </w:pPr>
      <w:r>
        <w:rPr>
          <w:b/>
          <w:bCs/>
          <w:color w:val="1F4E79"/>
          <w:sz w:val="36"/>
          <w:szCs w:val="36"/>
        </w:rPr>
        <w:t xml:space="preserve">4. Implementation Plan &amp; Timeline</w:t>
      </w:r>
    </w:p>
    <w:p>
      <w:pPr>
        <w:pStyle w:val="Heading2"/>
        <w:spacing w:before="280" w:after="120"/>
      </w:pPr>
      <w:r>
        <w:rPr>
          <w:b/>
          <w:bCs/>
          <w:color w:val="2E75B6"/>
          <w:sz w:val="28"/>
          <w:szCs w:val="28"/>
        </w:rPr>
        <w:t xml:space="preserve">4.1 Phase-wise Plan with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3900"/>
        <w:gridCol w:w="296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Phase</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Weeks</w:t>
            </w:r>
          </w:p>
        </w:tc>
        <w:tc>
          <w:tcPr>
            <w:tcW w:type="dxa" w:w="3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Activities</w:t>
            </w:r>
          </w:p>
        </w:tc>
        <w:tc>
          <w:tcPr>
            <w:tcW w:type="dxa" w:w="2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Milestone / Deliverable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 — Setup &amp; Discovery</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1–2</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Read papers (CloudRCA, RUN, MULAN); set up dev environment; define target metrics scope; install Prometheus on a test system or VM</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Repo initialised; tech stack validated; 10 metrics streaming locally</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1 — Data Infrastructure</w:t>
            </w:r>
          </w:p>
        </w:tc>
        <w:tc>
          <w:tcPr>
            <w:tcW w:type="dxa" w:w="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3–4</w:t>
            </w:r>
          </w:p>
        </w:tc>
        <w:tc>
          <w:tcPr>
            <w:tcW w:type="dxa" w:w="3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Build ingestion collector; connect to Prometheus/CloudWatch; implement preprocessing pipeline; generate synthetic healthy data for training</w:t>
            </w:r>
          </w:p>
        </w:tc>
        <w:tc>
          <w:tcPr>
            <w:tcW w:type="dxa" w:w="29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Preprocessing pipeline tested; 7 days of healthy metric data collected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 — Synthetic Failure Generator</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5–6</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Write failure injection scripts (CPU saturation, memory leak pattern, connection pool exhaustion); attach ground-truth labels; generate 50+ labelled failure scenarios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Labelled synthetic dataset of ≥200 failure windows ready</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3 — LSTM Baseline</w:t>
            </w:r>
          </w:p>
        </w:tc>
        <w:tc>
          <w:tcPr>
            <w:tcW w:type="dxa" w:w="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7–9</w:t>
            </w:r>
          </w:p>
        </w:tc>
        <w:tc>
          <w:tcPr>
            <w:tcW w:type="dxa" w:w="3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Train LSTM autoencoder on healthy data; tune reconstruction threshold; evaluate recall/precision on synthetic failures; log experiments in MLflow</w:t>
            </w:r>
          </w:p>
        </w:tc>
        <w:tc>
          <w:tcPr>
            <w:tcW w:type="dxa" w:w="29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Anomaly detection: &gt;70% recall on synthetic data</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 — Causal Engine</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10–12</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Implement Granger tests and PC algorithm; build causal graph module; integrate CI/CD event correlation; unit-test on known synthetic chains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Correct causal chain identified in ≥3 of 5 synthetic case studies</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5 — Root Cause Ranker + API</w:t>
            </w:r>
          </w:p>
        </w:tc>
        <w:tc>
          <w:tcPr>
            <w:tcW w:type="dxa" w:w="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13–14</w:t>
            </w:r>
          </w:p>
        </w:tc>
        <w:tc>
          <w:tcPr>
            <w:tcW w:type="dxa" w:w="3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Implement ranking heuristic; build FastAPI endpoints; generate NLG causal chain report; connect modules end-to-end</w:t>
            </w:r>
          </w:p>
        </w:tc>
        <w:tc>
          <w:tcPr>
            <w:tcW w:type="dxa" w:w="29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End-to-end pipeline: alert-in → report-out in &lt;5 min on synthetic data</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6 — Evaluation &amp; Benchmarking</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15–17</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Evaluate on ≥2 public datasets (AIOps, GAIA, or NASA); compare to baseline (threshold + correlation); run ablation studies</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F1 &gt;0.77; Top-3 accuracy &gt;85%; ablation table complete</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7 — Dashboard &amp; Integration</w:t>
            </w:r>
          </w:p>
        </w:tc>
        <w:tc>
          <w:tcPr>
            <w:tcW w:type="dxa" w:w="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18–20</w:t>
            </w:r>
          </w:p>
        </w:tc>
        <w:tc>
          <w:tcPr>
            <w:tcW w:type="dxa" w:w="3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Build Streamlit dashboard; integrate causal graph visualisation; connect to real Prometheus if available; containerise with Docker</w:t>
            </w:r>
          </w:p>
        </w:tc>
        <w:tc>
          <w:tcPr>
            <w:tcW w:type="dxa" w:w="29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Docker Compose stack running; dashboard demoed to supervisor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8 — Documentation &amp; Demo</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21–24</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Write final report; record demo video; prepare slides; open-source release on GitHub with README, reproducibility scripts, model card</w:t>
            </w:r>
          </w:p>
        </w:tc>
        <w:tc>
          <w:tcPr>
            <w:tcW w:type="dxa" w:w="2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All submission artefacts complete</w:t>
            </w:r>
          </w:p>
        </w:tc>
      </w:tr>
    </w:tbl>
    <w:p>
      <w:pPr>
        <w:spacing w:before="80" w:after="80"/>
      </w:pPr>
      <w:r>
        <w:t xml:space="preserve"/>
      </w:r>
    </w:p>
    <w:p>
      <w:pPr>
        <w:pStyle w:val="Heading2"/>
        <w:spacing w:before="280" w:after="120"/>
      </w:pPr>
      <w:r>
        <w:rPr>
          <w:b/>
          <w:bCs/>
          <w:color w:val="2E75B6"/>
          <w:sz w:val="28"/>
          <w:szCs w:val="28"/>
        </w:rPr>
        <w:t xml:space="preserve">4.2 Team Roles &amp; Effort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1800"/>
        <w:gridCol w:w="19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Role</w:t>
            </w:r>
          </w:p>
        </w:tc>
        <w:tc>
          <w:tcPr>
            <w:tcW w:type="dxa" w:w="3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Responsibilities</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Effort (solo)</w:t>
            </w:r>
          </w:p>
        </w:tc>
        <w:tc>
          <w:tcPr>
            <w:tcW w:type="dxa" w:w="1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Effort (2-person team)</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ML Engineer</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LSTM model, training loop, hyperparameter tuning, evaluation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8 weeks full-time</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 weeks each</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Systems Engineer</w:t>
            </w:r>
          </w:p>
        </w:tc>
        <w:tc>
          <w:tcPr>
            <w:tcW w:type="dxa" w:w="3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Data ingestion, Prometheus integration, Docker, API layer</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5 weeks full-time</w:t>
            </w:r>
          </w:p>
        </w:tc>
        <w:tc>
          <w:tcPr>
            <w:tcW w:type="dxa" w:w="19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2.5 weeks each</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Data Engineer</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Synthetic failure generator, preprocessing, labelling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 weeks full-time</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 weeks each</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Research Lead</w:t>
            </w:r>
          </w:p>
        </w:tc>
        <w:tc>
          <w:tcPr>
            <w:tcW w:type="dxa" w:w="3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Literature review, algorithm selection, report writing</w:t>
            </w:r>
          </w:p>
        </w:tc>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4 weeks full-time</w:t>
            </w:r>
          </w:p>
        </w:tc>
        <w:tc>
          <w:tcPr>
            <w:tcW w:type="dxa" w:w="19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2 weeks each</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Full-stack / UI</w:t>
            </w:r>
          </w:p>
        </w:tc>
        <w:tc>
          <w:tcPr>
            <w:tcW w:type="dxa" w:w="3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Streamlit dashboard, D3.js causal graph visualisation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 weeks full-time</w:t>
            </w:r>
          </w:p>
        </w:tc>
        <w:tc>
          <w:tcPr>
            <w:tcW w:type="dxa" w:w="1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1.5 weeks each</w:t>
            </w:r>
          </w:p>
        </w:tc>
      </w:tr>
    </w:tbl>
    <w:p>
      <w:pPr>
        <w:spacing w:before="60" w:after="80"/>
      </w:pPr>
      <w:r>
        <w:rPr>
          <w:sz w:val="22"/>
          <w:szCs w:val="22"/>
        </w:rPr>
        <w:t xml:space="preserve">Assumption: For a solo student, roles overlap sequentially. Expect 20–25 hours/week sustained effort over 24 weeks.</w:t>
      </w:r>
    </w:p>
    <w:p>
      <w:pPr>
        <w:spacing w:before="80" w:after="80"/>
      </w:pPr>
      <w:r>
        <w:t xml:space="preserve"/>
      </w:r>
    </w:p>
    <w:p>
      <w:pPr>
        <w:pStyle w:val="Heading2"/>
        <w:spacing w:before="280" w:after="120"/>
      </w:pPr>
      <w:r>
        <w:rPr>
          <w:b/>
          <w:bCs/>
          <w:color w:val="2E75B6"/>
          <w:sz w:val="28"/>
          <w:szCs w:val="28"/>
        </w:rPr>
        <w:t xml:space="preserve">4.3 Tools, Frameworks &amp;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3360"/>
      </w:tblGrid>
      <w:tr>
        <w:trPr>
          <w:tblHeader/>
        </w:trP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Category</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Recommended Tool</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Alternative</w:t>
            </w:r>
          </w:p>
        </w:tc>
        <w:tc>
          <w:tcPr>
            <w:tcW w:type="dxa" w:w="3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Rationale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Deep Learning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PyTorch 2.x</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TensorFlow/Keras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PyTorch is more research-friendly; better debugging; LSTM autoencoder tutorials abundant</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Time-series stats</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statsmodels (Granger)</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scipy, pingouin</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statsmodels has built-in VAR Granger test; well-documented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Causal discovery</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causal-learn (PC algorithm)</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pgmpy, DoWhy</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causal-learn is actively maintained; implements PC, FCI, GES</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Graph processing</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NetworkX</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igraph, Neo4j</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NetworkX pure-Python; sufficient for &lt;500 node graphs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Metrics collection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Prometheus + python_client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CloudWatch boto3</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Prometheus is free, local, and widely used in academia</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Experiment tracking</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MLflow</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Weights &amp; Biases (free tier)</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MLflow is fully local; no account required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API serving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FastAPI + uvicorn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Flask</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FastAPI has async support; auto-generates OpenAPI docs</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Dashboard</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Streamlit</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Grafana + plugin</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Streamlit requires minimal frontend skill; Python-native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Containerisation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Docker + Docker Compose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Podman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Industry standard; supervisor will recognise it</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Log parsing</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Drain3</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Logparser, regex</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Drain3 is production-ready; no training data needed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Data storage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PostgreSQL + TimescaleDB</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InfluxDB</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TimescaleDB adds time-series SQL on top of familiar PostgreSQL</w:t>
            </w:r>
          </w:p>
        </w:tc>
      </w:tr>
      <w:tr>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Compute (training)</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Google Colab (T4 GPU free)</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Kaggle notebooks, HPC</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Free; sufficient for LSTM with 10–50 metrics over 30 days of data</w:t>
            </w:r>
          </w:p>
        </w:tc>
      </w:tr>
    </w:tbl>
    <w:p>
      <w:pPr>
        <w:spacing w:before="80" w:after="80"/>
      </w:pPr>
      <w:r>
        <w:t xml:space="preserve"/>
      </w:r>
    </w:p>
    <w:p>
      <w:pPr>
        <w:pStyle w:val="Heading2"/>
        <w:spacing w:before="280" w:after="120"/>
      </w:pPr>
      <w:r>
        <w:rPr>
          <w:b/>
          <w:bCs/>
          <w:color w:val="2E75B6"/>
          <w:sz w:val="28"/>
          <w:szCs w:val="28"/>
        </w:rPr>
        <w:t xml:space="preserve">4.4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900"/>
        <w:gridCol w:w="40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Risk</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Category</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Likelihood</w:t>
            </w:r>
          </w:p>
        </w:tc>
        <w:tc>
          <w:tcPr>
            <w:tcW w:type="dxa" w:w="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Impact</w:t>
            </w:r>
          </w:p>
        </w:tc>
        <w:tc>
          <w:tcPr>
            <w:tcW w:type="dxa" w:w="4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Mitigation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 labeled ground truth</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Data</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High</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High</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Build synthetic failure generator in Phase 2; validate on NASA/AIOps public datasets</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LSTM overfits to healthy patterns; misses novel failures</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Technical</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Medium</w:t>
            </w:r>
          </w:p>
        </w:tc>
        <w:tc>
          <w:tcPr>
            <w:tcW w:type="dxa" w:w="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High</w:t>
            </w:r>
          </w:p>
        </w:tc>
        <w:tc>
          <w:tcPr>
            <w:tcW w:type="dxa" w:w="40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Train on diverse healthy data; test on held-out failure scenarios; tune threshold conservatively</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Causal graph is too sparse / too dense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Technical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Medium</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Medium</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Sweep Granger p-value threshold (0.01, 0.05, 0.1); use F-test with BIC to select lag</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Prometheus integration fails (no production access)</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Project</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Medium</w:t>
            </w:r>
          </w:p>
        </w:tc>
        <w:tc>
          <w:tcPr>
            <w:tcW w:type="dxa" w:w="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Medium</w:t>
            </w:r>
          </w:p>
        </w:tc>
        <w:tc>
          <w:tcPr>
            <w:tcW w:type="dxa" w:w="40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Fall back to public AIOps datasets or simulate with docker-compose microservices stack</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GPU compute unavailable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Resource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Low</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Medium</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LSTM with 10 metrics trains on CPU in &lt;2 hrs; reduce model size to 2-layer if needed</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Scope creep (too many anomaly types)</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Project</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High</w:t>
            </w:r>
          </w:p>
        </w:tc>
        <w:tc>
          <w:tcPr>
            <w:tcW w:type="dxa" w:w="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Medium</w:t>
            </w:r>
          </w:p>
        </w:tc>
        <w:tc>
          <w:tcPr>
            <w:tcW w:type="dxa" w:w="40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Cap MVP at 20 anomaly types; document remaining 30+ as future work in report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Privacy / PII in logs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Ethical</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Medium</w:t>
            </w:r>
          </w:p>
        </w:tc>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High</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Use only infrastructure metrics; mask hostnames and IPs in demo datasets; document data handling policy</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Synthetic-to-real performance gap</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Technical</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High</w:t>
            </w:r>
          </w:p>
        </w:tc>
        <w:tc>
          <w:tcPr>
            <w:tcW w:type="dxa" w:w="9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High</w:t>
            </w:r>
          </w:p>
        </w:tc>
        <w:tc>
          <w:tcPr>
            <w:tcW w:type="dxa" w:w="40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Validate on ≥1 real or semi-real public dataset; explicitly discuss gap in report limitations section</w:t>
            </w:r>
          </w:p>
        </w:tc>
      </w:tr>
    </w:tbl>
    <w:p>
      <w:pPr>
        <w:spacing w:before="80" w:after="80"/>
      </w:pPr>
      <w:r>
        <w:t xml:space="preserve"/>
      </w:r>
    </w:p>
    <w:p>
      <w:pPr>
        <w:pStyle w:val="Heading1"/>
        <w:pBdr>
          <w:bottom w:val="single" w:color="2E75B6" w:sz="6" w:space="1"/>
        </w:pBdr>
        <w:spacing w:before="360" w:after="180"/>
      </w:pPr>
      <w:r>
        <w:rPr>
          <w:b/>
          <w:bCs/>
          <w:color w:val="1F4E79"/>
          <w:sz w:val="36"/>
          <w:szCs w:val="36"/>
        </w:rPr>
        <w:t xml:space="preserve">5. Feasibility Analysis</w:t>
      </w:r>
    </w:p>
    <w:p>
      <w:pPr>
        <w:pStyle w:val="Heading2"/>
        <w:spacing w:before="280" w:after="120"/>
      </w:pPr>
      <w:r>
        <w:rPr>
          <w:b/>
          <w:bCs/>
          <w:color w:val="2E75B6"/>
          <w:sz w:val="28"/>
          <w:szCs w:val="28"/>
        </w:rPr>
        <w:t xml:space="preserve">5.1 Technical Feasibility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Dimension</w:t>
            </w:r>
          </w:p>
        </w:tc>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Estimate / Bound</w:t>
            </w:r>
          </w:p>
        </w:tc>
        <w:tc>
          <w:tcPr>
            <w:tcW w:type="dxa" w:w="36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LSTM training data</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30 days × 10 metrics × 1440 samples/day = 432,000 rows</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Manageable; synthetic generation takes &lt;1 hour</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LSTM training time</w:t>
            </w:r>
          </w:p>
        </w:tc>
        <w:tc>
          <w:tcPr>
            <w:tcW w:type="dxa" w:w="3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~2–4 hours on CPU; ~20 min on T4 GPU</w:t>
            </w:r>
          </w:p>
        </w:tc>
        <w:tc>
          <w:tcPr>
            <w:tcW w:type="dxa" w:w="36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Google Colab free tier sufficient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Model size</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~500K parameters (2-layer LSTM, 128→64)</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Fits in 4 GB RAM; inference &lt;2 s on CPU</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Granger test time</w:t>
            </w:r>
          </w:p>
        </w:tc>
        <w:tc>
          <w:tcPr>
            <w:tcW w:type="dxa" w:w="3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O(n²) pairs; 50 metrics → 2,500 tests; ~10 s</w:t>
            </w:r>
          </w:p>
        </w:tc>
        <w:tc>
          <w:tcPr>
            <w:tcW w:type="dxa" w:w="36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No GPU needed; pure statsmodels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Expected F1 score (anomaly)</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0.75–0.85 on synthetic; 0.65–0.80 on real datasets</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Based on CloudRCA and similar published results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Expected Top-1 accuracy</w:t>
            </w:r>
          </w:p>
        </w:tc>
        <w:tc>
          <w:tcPr>
            <w:tcW w:type="dxa" w:w="3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55–70% (MVP); 65–80% with KHBN</w:t>
            </w:r>
          </w:p>
        </w:tc>
        <w:tc>
          <w:tcPr>
            <w:tcW w:type="dxa" w:w="36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Matches Document 1 targets; Document 2 confirms range</w:t>
            </w:r>
          </w:p>
        </w:tc>
      </w:tr>
    </w:tbl>
    <w:p>
      <w:pPr>
        <w:spacing w:before="80" w:after="80"/>
      </w:pPr>
      <w:r>
        <w:t xml:space="preserve"/>
      </w:r>
    </w:p>
    <w:p>
      <w:pPr>
        <w:pStyle w:val="Heading2"/>
        <w:spacing w:before="280" w:after="120"/>
      </w:pPr>
      <w:r>
        <w:rPr>
          <w:b/>
          <w:bCs/>
          <w:color w:val="2E75B6"/>
          <w:sz w:val="28"/>
          <w:szCs w:val="28"/>
        </w:rPr>
        <w:t xml:space="preserve">5.2 Resource Feasibility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Resource</w:t>
            </w:r>
          </w:p>
        </w:tc>
        <w:tc>
          <w:tcPr>
            <w:tcW w:type="dxa" w:w="3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Estimated Cost</w:t>
            </w:r>
          </w:p>
        </w:tc>
        <w:tc>
          <w:tcPr>
            <w:tcW w:type="dxa" w:w="36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Free Option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GPU compute (training)</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~$5–20 if using Colab Pro</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Google Colab free (T4, 12 hr sessions)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Cloud storage</w:t>
            </w:r>
          </w:p>
        </w:tc>
        <w:tc>
          <w:tcPr>
            <w:tcW w:type="dxa" w:w="3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~$2–5/month for 50 GB</w:t>
            </w:r>
          </w:p>
        </w:tc>
        <w:tc>
          <w:tcPr>
            <w:tcW w:type="dxa" w:w="36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GitHub LFS, Google Drive, HuggingFace datasets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Prometheus + TimescaleDB</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 (self-hosted on laptop/VM)</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Docker Compose on local machine</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MLflow tracking server</w:t>
            </w:r>
          </w:p>
        </w:tc>
        <w:tc>
          <w:tcPr>
            <w:tcW w:type="dxa" w:w="3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$0 (local)</w:t>
            </w:r>
          </w:p>
        </w:tc>
        <w:tc>
          <w:tcPr>
            <w:tcW w:type="dxa" w:w="36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Local SQLite backend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Annotation / labelling</w:t>
            </w:r>
          </w:p>
        </w:tc>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 (synthetic generation)</w:t>
            </w:r>
          </w:p>
        </w:tc>
        <w:tc>
          <w:tcPr>
            <w:tcW w:type="dxa" w:w="36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LabelStudio (open-source) for any manual labels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Total estimated cost</w:t>
            </w:r>
          </w:p>
        </w:tc>
        <w:tc>
          <w:tcPr>
            <w:tcW w:type="dxa" w:w="3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$0–30 for full project</w:t>
            </w:r>
          </w:p>
        </w:tc>
        <w:tc>
          <w:tcPr>
            <w:tcW w:type="dxa" w:w="36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Zero-cost path is viable</w:t>
            </w:r>
          </w:p>
        </w:tc>
      </w:tr>
    </w:tbl>
    <w:p>
      <w:pPr>
        <w:spacing w:before="80" w:after="80"/>
      </w:pPr>
      <w:r>
        <w:t xml:space="preserve"/>
      </w:r>
    </w:p>
    <w:p>
      <w:pPr>
        <w:pStyle w:val="Heading2"/>
        <w:spacing w:before="280" w:after="120"/>
      </w:pPr>
      <w:r>
        <w:rPr>
          <w:b/>
          <w:bCs/>
          <w:color w:val="2E75B6"/>
          <w:sz w:val="28"/>
          <w:szCs w:val="28"/>
        </w:rPr>
        <w:t xml:space="preserve">5.3 Timeline Feasibility</w:t>
      </w:r>
    </w:p>
    <w:p>
      <w:pPr>
        <w:spacing w:before="60" w:after="80"/>
      </w:pPr>
      <w:r>
        <w:rPr>
          <w:sz w:val="22"/>
          <w:szCs w:val="22"/>
        </w:rPr>
        <w:t xml:space="preserve">The 24-week plan is achievable for a solo student at 20–25 hrs/week or a 2-person team at 15 hrs/week each. The critical path is: Synthetic Data Generator (Phase 2) → LSTM Training (Phase 3) → Causal Engine (Phase 4). Delays in Phase 2 directly delay all downstream phases. Recommended buffer: treat Weeks 21–24 as documentation + buffer, not new feature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FF3CD" w:val="clear"/>
            <w:tcMar>
              <w:top w:type="dxa" w:w="100"/>
              <w:left w:type="dxa" w:w="180"/>
              <w:bottom w:type="dxa" w:w="100"/>
              <w:right w:type="dxa" w:w="120"/>
            </w:tcMar>
          </w:tcPr>
          <w:p>
            <w:pPr>
              <w:spacing w:before="40" w:after="40"/>
            </w:pPr>
            <w:r>
              <w:rPr>
                <w:b/>
                <w:bCs/>
                <w:sz w:val="22"/>
                <w:szCs w:val="22"/>
              </w:rPr>
              <w:t xml:space="preserve">⚠️  Risk:  </w:t>
            </w:r>
            <w:r>
              <w:rPr>
                <w:sz w:val="22"/>
                <w:szCs w:val="22"/>
              </w:rPr>
              <w:t xml:space="preserve">If real Prometheus integration is attempted, add 2 weeks to Phase 7. If KHBN is targeted for distinction level, add 2–3 weeks to Phase 4.</w:t>
            </w:r>
          </w:p>
        </w:tc>
      </w:tr>
    </w:tbl>
    <w:p>
      <w:pPr>
        <w:spacing w:before="80" w:after="80"/>
      </w:pPr>
      <w:r>
        <w:t xml:space="preserve"/>
      </w:r>
    </w:p>
    <w:p>
      <w:pPr>
        <w:pStyle w:val="Heading2"/>
        <w:spacing w:before="280" w:after="120"/>
      </w:pPr>
      <w:r>
        <w:rPr>
          <w:b/>
          <w:bCs/>
          <w:color w:val="2E75B6"/>
          <w:sz w:val="28"/>
          <w:szCs w:val="28"/>
        </w:rPr>
        <w:t xml:space="preserve">5.4 Ethical, Legal &amp; Privacy Considerations</w:t>
      </w:r>
    </w:p>
    <w:p>
      <w:pPr>
        <w:pStyle w:val="ListParagraph"/>
        <w:numPr>
          <w:ilvl w:val="0"/>
          <w:numId w:val="2"/>
        </w:numPr>
        <w:spacing w:before="40" w:after="40"/>
      </w:pPr>
      <w:r>
        <w:rPr>
          <w:sz w:val="22"/>
          <w:szCs w:val="22"/>
        </w:rPr>
        <w:t xml:space="preserve">Infrastructure metrics (CPU%, latency, error rates) are generally non-personal—low GDPR risk</w:t>
      </w:r>
    </w:p>
    <w:p>
      <w:pPr>
        <w:pStyle w:val="ListParagraph"/>
        <w:numPr>
          <w:ilvl w:val="0"/>
          <w:numId w:val="2"/>
        </w:numPr>
        <w:spacing w:before="40" w:after="40"/>
      </w:pPr>
      <w:r>
        <w:rPr>
          <w:sz w:val="22"/>
          <w:szCs w:val="22"/>
        </w:rPr>
        <w:t xml:space="preserve">Log data may contain PII (user IDs, IP addresses, session tokens)—mask or hash before ingestion</w:t>
      </w:r>
    </w:p>
    <w:p>
      <w:pPr>
        <w:pStyle w:val="ListParagraph"/>
        <w:numPr>
          <w:ilvl w:val="0"/>
          <w:numId w:val="2"/>
        </w:numPr>
        <w:spacing w:before="40" w:after="40"/>
      </w:pPr>
      <w:r>
        <w:rPr>
          <w:sz w:val="22"/>
          <w:szCs w:val="22"/>
        </w:rPr>
        <w:t xml:space="preserve">If validating on real production systems: obtain written permission from system owner; document data handling policy in README</w:t>
      </w:r>
    </w:p>
    <w:p>
      <w:pPr>
        <w:pStyle w:val="ListParagraph"/>
        <w:numPr>
          <w:ilvl w:val="0"/>
          <w:numId w:val="2"/>
        </w:numPr>
        <w:spacing w:before="40" w:after="40"/>
      </w:pPr>
      <w:r>
        <w:rPr>
          <w:sz w:val="22"/>
          <w:szCs w:val="22"/>
        </w:rPr>
        <w:t xml:space="preserve">AI-generated root cause reports should be framed as decision-support, not authoritative diagnosis—include confidence intervals and caveats in every report</w:t>
      </w:r>
    </w:p>
    <w:p>
      <w:pPr>
        <w:pStyle w:val="ListParagraph"/>
        <w:numPr>
          <w:ilvl w:val="0"/>
          <w:numId w:val="2"/>
        </w:numPr>
        <w:spacing w:before="40" w:after="40"/>
      </w:pPr>
      <w:r>
        <w:rPr>
          <w:sz w:val="22"/>
          <w:szCs w:val="22"/>
        </w:rPr>
        <w:t xml:space="preserve">Model fairness: ensure the system does not systematically mis-diagnose failures in under-monitored services (coverage bias)</w:t>
      </w:r>
    </w:p>
    <w:p>
      <w:pPr>
        <w:pStyle w:val="ListParagraph"/>
        <w:numPr>
          <w:ilvl w:val="0"/>
          <w:numId w:val="2"/>
        </w:numPr>
        <w:spacing w:before="40" w:after="40"/>
      </w:pPr>
      <w:r>
        <w:rPr>
          <w:sz w:val="22"/>
          <w:szCs w:val="22"/>
        </w:rPr>
        <w:t xml:space="preserve">Open-source release: use MIT or Apache 2.0 licence; document known limitations in model card</w:t>
      </w:r>
    </w:p>
    <w:p>
      <w:pPr>
        <w:spacing w:before="80" w:after="80"/>
      </w:pPr>
      <w:r>
        <w:t xml:space="preserve"/>
      </w:r>
    </w:p>
    <w:p>
      <w:pPr>
        <w:pStyle w:val="Heading1"/>
        <w:pBdr>
          <w:bottom w:val="single" w:color="2E75B6" w:sz="6" w:space="1"/>
        </w:pBdr>
        <w:spacing w:before="360" w:after="180"/>
      </w:pPr>
      <w:r>
        <w:rPr>
          <w:b/>
          <w:bCs/>
          <w:color w:val="1F4E79"/>
          <w:sz w:val="36"/>
          <w:szCs w:val="36"/>
        </w:rPr>
        <w:t xml:space="preserve">6. Data Engineering &amp; Labelling Plan</w:t>
      </w:r>
    </w:p>
    <w:p>
      <w:pPr>
        <w:pStyle w:val="Heading2"/>
        <w:spacing w:before="280" w:after="120"/>
      </w:pPr>
      <w:r>
        <w:rPr>
          <w:b/>
          <w:bCs/>
          <w:color w:val="2E75B6"/>
          <w:sz w:val="28"/>
          <w:szCs w:val="28"/>
        </w:rPr>
        <w:t xml:space="preserve">6.1 Data Collection &amp; Cleaning</w:t>
      </w:r>
    </w:p>
    <w:p>
      <w:pPr>
        <w:pStyle w:val="ListParagraph"/>
        <w:numPr>
          <w:ilvl w:val="0"/>
          <w:numId w:val="3"/>
        </w:numPr>
        <w:spacing w:before="40" w:after="40"/>
      </w:pPr>
      <w:r>
        <w:rPr>
          <w:sz w:val="22"/>
          <w:szCs w:val="22"/>
        </w:rPr>
        <w:t xml:space="preserve">Configure Prometheus node_exporter on target host (or docker-compose microservices stack); scrape interval = 60 s</w:t>
      </w:r>
    </w:p>
    <w:p>
      <w:pPr>
        <w:pStyle w:val="ListParagraph"/>
        <w:numPr>
          <w:ilvl w:val="0"/>
          <w:numId w:val="3"/>
        </w:numPr>
        <w:spacing w:before="40" w:after="40"/>
      </w:pPr>
      <w:r>
        <w:rPr>
          <w:sz w:val="22"/>
          <w:szCs w:val="22"/>
        </w:rPr>
        <w:t xml:space="preserve">Collect 30 days of healthy baseline data before training; tag each record with host, service, environment</w:t>
      </w:r>
    </w:p>
    <w:p>
      <w:pPr>
        <w:pStyle w:val="ListParagraph"/>
        <w:numPr>
          <w:ilvl w:val="0"/>
          <w:numId w:val="3"/>
        </w:numPr>
        <w:spacing w:before="40" w:after="40"/>
      </w:pPr>
      <w:r>
        <w:rPr>
          <w:sz w:val="22"/>
          <w:szCs w:val="22"/>
        </w:rPr>
        <w:t xml:space="preserve">Data quality checks: reject records with &gt;10% missing values in any 1-hr window; flag all-zero series as potentially dead metrics</w:t>
      </w:r>
    </w:p>
    <w:p>
      <w:pPr>
        <w:pStyle w:val="ListParagraph"/>
        <w:numPr>
          <w:ilvl w:val="0"/>
          <w:numId w:val="3"/>
        </w:numPr>
        <w:spacing w:before="40" w:after="40"/>
      </w:pPr>
      <w:r>
        <w:rPr>
          <w:sz w:val="22"/>
          <w:szCs w:val="22"/>
        </w:rPr>
        <w:t xml:space="preserve">Normalisation: compute rolling 7-day mean μ and std σ per metric; apply z-score transformation online</w:t>
      </w:r>
    </w:p>
    <w:p>
      <w:pPr>
        <w:pStyle w:val="ListParagraph"/>
        <w:numPr>
          <w:ilvl w:val="0"/>
          <w:numId w:val="3"/>
        </w:numPr>
        <w:spacing w:before="40" w:after="40"/>
      </w:pPr>
      <w:r>
        <w:rPr>
          <w:sz w:val="22"/>
          <w:szCs w:val="22"/>
        </w:rPr>
        <w:t xml:space="preserve">Window creation: generate 60-step sliding windows with stride 30; store as HDF5 dataset partitioned by date</w:t>
      </w:r>
    </w:p>
    <w:p>
      <w:pPr>
        <w:spacing w:before="80" w:after="80"/>
      </w:pPr>
      <w:r>
        <w:t xml:space="preserve"/>
      </w:r>
    </w:p>
    <w:p>
      <w:pPr>
        <w:pStyle w:val="Heading2"/>
        <w:spacing w:before="280" w:after="120"/>
      </w:pPr>
      <w:r>
        <w:rPr>
          <w:b/>
          <w:bCs/>
          <w:color w:val="2E75B6"/>
          <w:sz w:val="28"/>
          <w:szCs w:val="28"/>
        </w:rPr>
        <w:t xml:space="preserve">6.2 Synthetic Failure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D6E4F0" w:val="clear"/>
            <w:tcMar>
              <w:top w:type="dxa" w:w="100"/>
              <w:left w:type="dxa" w:w="180"/>
              <w:bottom w:type="dxa" w:w="100"/>
              <w:right w:type="dxa" w:w="120"/>
            </w:tcMar>
          </w:tcPr>
          <w:p>
            <w:pPr>
              <w:spacing w:before="40" w:after="40"/>
            </w:pPr>
            <w:r>
              <w:rPr>
                <w:b/>
                <w:bCs/>
                <w:sz w:val="22"/>
                <w:szCs w:val="22"/>
              </w:rPr>
              <w:t xml:space="preserve">Why synthetic?  </w:t>
            </w:r>
            <w:r>
              <w:rPr>
                <w:sz w:val="22"/>
                <w:szCs w:val="22"/>
              </w:rPr>
              <w:t xml:space="preserve">Document 2 confirms that insufficient labeled failure data is the primary feasibility barrier across all industrial RCA deployments. Synthetic generation with known ground truth is the accepted mitigation in academic work.</w:t>
            </w:r>
          </w:p>
        </w:tc>
      </w:tr>
    </w:tbl>
    <w:p>
      <w:pPr>
        <w:spacing w:before="80" w:after="80"/>
      </w:pPr>
      <w:r>
        <w:t xml:space="preserve"/>
      </w:r>
    </w:p>
    <w:p>
      <w:pPr>
        <w:spacing w:before="60" w:after="80"/>
      </w:pPr>
      <w:r>
        <w:rPr>
          <w:sz w:val="22"/>
          <w:szCs w:val="22"/>
        </w:rPr>
        <w:t xml:space="preserve">Implement the following injection patterns in Python, each with configurable duration, intensity, and affected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Failure Type</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Injection Method</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Affected Metrics</w:t>
            </w:r>
          </w:p>
        </w:tc>
        <w:tc>
          <w:tcPr>
            <w:tcW w:type="dxa" w:w="2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Ground Truth Label</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CPU saturation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Spawn infinite-loop process; inject noise into CPU series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cpu_usage, load_avg, context_switches</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root_cause: cpu_saturation</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Memory leak</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Monotonic additive trend to memory_used series over 6–48 hrs</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memory_used, swap_used, gc_pauses</w:t>
            </w:r>
          </w:p>
        </w:tc>
        <w:tc>
          <w:tcPr>
            <w:tcW w:type="dxa" w:w="2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root_cause: memory_leak</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DB slow query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Add latency spike to db_query_latency; propagate to api_latency via lag</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db_query_latency, db_connections, api_latency_p95</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root_cause: db_slow_query</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Connection pool exhaustion</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Saturate db_connections counter; trigger api_timeouts</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db_connections, api_timeout_rate, error_rate</w:t>
            </w:r>
          </w:p>
        </w:tc>
        <w:tc>
          <w:tcPr>
            <w:tcW w:type="dxa" w:w="2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root_cause: connection_pool</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DNS failure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Inject step change in dns_resolution_time; partial error rate in specific regions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dns_resolution_latency, error_rate_by_region</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root_cause: dns_failure</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Thread pool exhaustion</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Saturate thread_pool_active; trigger api_timeout cascade</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thread_pool_utilization, api_latency, error_rate</w:t>
            </w:r>
          </w:p>
        </w:tc>
        <w:tc>
          <w:tcPr>
            <w:tcW w:type="dxa" w:w="2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root_cause: thread_pool</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Disk I/O spike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Inject I/O wait pattern; add latency to disk-dependent services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disk_io_wait, db_query_latency, throughput</w:t>
            </w:r>
          </w:p>
        </w:tc>
        <w:tc>
          <w:tcPr>
            <w:tcW w:type="dxa" w:w="2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root_cause: disk_io</w:t>
            </w:r>
          </w:p>
        </w:tc>
      </w:tr>
      <w:tr>
        <w:tc>
          <w:tcPr>
            <w:tcW w:type="dxa" w:w="1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Network packet loss</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Add Gaussian noise and dropouts to network_throughput series</w:t>
            </w:r>
          </w:p>
        </w:tc>
        <w:tc>
          <w:tcPr>
            <w:tcW w:type="dxa" w:w="2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network_throughput, tcp_retransmissions, latency</w:t>
            </w:r>
          </w:p>
        </w:tc>
        <w:tc>
          <w:tcPr>
            <w:tcW w:type="dxa" w:w="2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root_cause: packet_loss</w:t>
            </w:r>
          </w:p>
        </w:tc>
      </w:tr>
    </w:tbl>
    <w:p>
      <w:pPr>
        <w:spacing w:before="80" w:after="80"/>
      </w:pPr>
      <w:r>
        <w:t xml:space="preserve"/>
      </w:r>
    </w:p>
    <w:p>
      <w:pPr>
        <w:pStyle w:val="Heading2"/>
        <w:spacing w:before="280" w:after="120"/>
      </w:pPr>
      <w:r>
        <w:rPr>
          <w:b/>
          <w:bCs/>
          <w:color w:val="2E75B6"/>
          <w:sz w:val="28"/>
          <w:szCs w:val="28"/>
        </w:rPr>
        <w:t xml:space="preserve">6.3 Strategies for Small / Noisy Datasets</w:t>
      </w:r>
    </w:p>
    <w:p>
      <w:pPr>
        <w:pStyle w:val="ListParagraph"/>
        <w:numPr>
          <w:ilvl w:val="0"/>
          <w:numId w:val="2"/>
        </w:numPr>
        <w:spacing w:before="40" w:after="40"/>
      </w:pPr>
      <w:r>
        <w:rPr>
          <w:sz w:val="22"/>
          <w:szCs w:val="22"/>
        </w:rPr>
        <w:t xml:space="preserve">Data augmentation: apply random time-warp, amplitude scaling (×0.8–1.2), and Gaussian noise to healthy windows to increase training diversity</w:t>
      </w:r>
    </w:p>
    <w:p>
      <w:pPr>
        <w:pStyle w:val="ListParagraph"/>
        <w:numPr>
          <w:ilvl w:val="0"/>
          <w:numId w:val="2"/>
        </w:numPr>
        <w:spacing w:before="40" w:after="40"/>
      </w:pPr>
      <w:r>
        <w:rPr>
          <w:sz w:val="22"/>
          <w:szCs w:val="22"/>
        </w:rPr>
        <w:t xml:space="preserve">Transfer learning: pre-train LSTM on NASA SMAP/MSL dataset (publicly available, multi-channel time-series); fine-tune on target metrics</w:t>
      </w:r>
    </w:p>
    <w:p>
      <w:pPr>
        <w:pStyle w:val="ListParagraph"/>
        <w:numPr>
          <w:ilvl w:val="0"/>
          <w:numId w:val="2"/>
        </w:numPr>
        <w:spacing w:before="40" w:after="40"/>
      </w:pPr>
      <w:r>
        <w:rPr>
          <w:sz w:val="22"/>
          <w:szCs w:val="22"/>
        </w:rPr>
        <w:t xml:space="preserve">Few-shot failure detection: use reconstruction error anomaly scoring—requires zero failure examples during training</w:t>
      </w:r>
    </w:p>
    <w:p>
      <w:pPr>
        <w:pStyle w:val="ListParagraph"/>
        <w:numPr>
          <w:ilvl w:val="0"/>
          <w:numId w:val="2"/>
        </w:numPr>
        <w:spacing w:before="40" w:after="40"/>
      </w:pPr>
      <w:r>
        <w:rPr>
          <w:sz w:val="22"/>
          <w:szCs w:val="22"/>
        </w:rPr>
        <w:t xml:space="preserve">Semi-supervised validation: use unlabelled real metric data for threshold calibration even without failure labels</w:t>
      </w:r>
    </w:p>
    <w:p>
      <w:pPr>
        <w:spacing w:before="80" w:after="80"/>
      </w:pPr>
      <w:r>
        <w:t xml:space="preserve"/>
      </w:r>
    </w:p>
    <w:p>
      <w:pPr>
        <w:pStyle w:val="Heading2"/>
        <w:spacing w:before="280" w:after="120"/>
      </w:pPr>
      <w:r>
        <w:rPr>
          <w:b/>
          <w:bCs/>
          <w:color w:val="2E75B6"/>
          <w:sz w:val="28"/>
          <w:szCs w:val="28"/>
        </w:rPr>
        <w:t xml:space="preserve">6.4 Annotation Guidelines &amp; Quality Control</w:t>
      </w:r>
    </w:p>
    <w:p>
      <w:pPr>
        <w:pStyle w:val="ListParagraph"/>
        <w:numPr>
          <w:ilvl w:val="0"/>
          <w:numId w:val="2"/>
        </w:numPr>
        <w:spacing w:before="40" w:after="40"/>
      </w:pPr>
      <w:r>
        <w:rPr>
          <w:sz w:val="22"/>
          <w:szCs w:val="22"/>
        </w:rPr>
        <w:t xml:space="preserve">Each synthetic failure scenario must have: injection_start, injection_end, root_cause_metric, propagation_chain (ordered list), and expected_first_anomaly_onset</w:t>
      </w:r>
    </w:p>
    <w:p>
      <w:pPr>
        <w:pStyle w:val="ListParagraph"/>
        <w:numPr>
          <w:ilvl w:val="0"/>
          <w:numId w:val="2"/>
        </w:numPr>
        <w:spacing w:before="40" w:after="40"/>
      </w:pPr>
      <w:r>
        <w:rPr>
          <w:sz w:val="22"/>
          <w:szCs w:val="22"/>
        </w:rPr>
        <w:t xml:space="preserve">Quality check: run the anomaly detector on each synthetic scenario before adding to the test set—reject scenarios where the injected anomaly is invisible to the model (insufficient severity)</w:t>
      </w:r>
    </w:p>
    <w:p>
      <w:pPr>
        <w:pStyle w:val="ListParagraph"/>
        <w:numPr>
          <w:ilvl w:val="0"/>
          <w:numId w:val="2"/>
        </w:numPr>
        <w:spacing w:before="40" w:after="40"/>
      </w:pPr>
      <w:r>
        <w:rPr>
          <w:sz w:val="22"/>
          <w:szCs w:val="22"/>
        </w:rPr>
        <w:t xml:space="preserve">Tooling: use LabelStudio (free, self-hosted) if manual annotation of real incidents is needed; export as JSONL</w:t>
      </w:r>
    </w:p>
    <w:p>
      <w:pPr>
        <w:pStyle w:val="ListParagraph"/>
        <w:numPr>
          <w:ilvl w:val="0"/>
          <w:numId w:val="2"/>
        </w:numPr>
        <w:spacing w:before="40" w:after="40"/>
      </w:pPr>
      <w:r>
        <w:rPr>
          <w:sz w:val="22"/>
          <w:szCs w:val="22"/>
        </w:rPr>
        <w:t xml:space="preserve">Version control all datasets with DVC (Data Version Control); store manifests in Git</w:t>
      </w:r>
    </w:p>
    <w:p>
      <w:pPr>
        <w:spacing w:before="80" w:after="80"/>
      </w:pPr>
      <w:r>
        <w:t xml:space="preserve"/>
      </w:r>
    </w:p>
    <w:p>
      <w:pPr>
        <w:pStyle w:val="Heading1"/>
        <w:pBdr>
          <w:bottom w:val="single" w:color="2E75B6" w:sz="6" w:space="1"/>
        </w:pBdr>
        <w:spacing w:before="360" w:after="180"/>
      </w:pPr>
      <w:r>
        <w:rPr>
          <w:b/>
          <w:bCs/>
          <w:color w:val="1F4E79"/>
          <w:sz w:val="36"/>
          <w:szCs w:val="36"/>
        </w:rPr>
        <w:t xml:space="preserve">7. Model Training &amp; Evaluation Strategy</w:t>
      </w:r>
    </w:p>
    <w:p>
      <w:pPr>
        <w:pStyle w:val="Heading2"/>
        <w:spacing w:before="280" w:after="120"/>
      </w:pPr>
      <w:r>
        <w:rPr>
          <w:b/>
          <w:bCs/>
          <w:color w:val="2E75B6"/>
          <w:sz w:val="28"/>
          <w:szCs w:val="28"/>
        </w:rPr>
        <w:t xml:space="preserve">7.1 Training Setup</w:t>
      </w:r>
    </w:p>
    <w:p>
      <w:pPr>
        <w:pStyle w:val="Heading3"/>
        <w:spacing w:before="200" w:after="80"/>
      </w:pPr>
      <w:r>
        <w:rPr>
          <w:b/>
          <w:bCs/>
          <w:color w:val="2F5496"/>
          <w:sz w:val="24"/>
          <w:szCs w:val="24"/>
        </w:rPr>
        <w:t xml:space="preserve">LSTM Autoencoder</w:t>
      </w:r>
    </w:p>
    <w:p>
      <w:pPr>
        <w:pStyle w:val="ListParagraph"/>
        <w:numPr>
          <w:ilvl w:val="0"/>
          <w:numId w:val="2"/>
        </w:numPr>
        <w:spacing w:before="40" w:after="40"/>
      </w:pPr>
      <w:r>
        <w:rPr>
          <w:sz w:val="22"/>
          <w:szCs w:val="22"/>
        </w:rPr>
        <w:t xml:space="preserve">Loss: Mean Squared Error (MSE) on reconstruction of all metrics simultaneously</w:t>
      </w:r>
    </w:p>
    <w:p>
      <w:pPr>
        <w:pStyle w:val="ListParagraph"/>
        <w:numPr>
          <w:ilvl w:val="0"/>
          <w:numId w:val="2"/>
        </w:numPr>
        <w:spacing w:before="40" w:after="40"/>
      </w:pPr>
      <w:r>
        <w:rPr>
          <w:sz w:val="22"/>
          <w:szCs w:val="22"/>
        </w:rPr>
        <w:t xml:space="preserve">Optimiser: Adam with lr=1e-3, weight_decay=1e-5; cosine annealing LR scheduler</w:t>
      </w:r>
    </w:p>
    <w:p>
      <w:pPr>
        <w:pStyle w:val="ListParagraph"/>
        <w:numPr>
          <w:ilvl w:val="0"/>
          <w:numId w:val="2"/>
        </w:numPr>
        <w:spacing w:before="40" w:after="40"/>
      </w:pPr>
      <w:r>
        <w:rPr>
          <w:sz w:val="22"/>
          <w:szCs w:val="22"/>
        </w:rPr>
        <w:t xml:space="preserve">Batch size: 64 windows; train for 50–100 epochs with early stopping (patience=10)</w:t>
      </w:r>
    </w:p>
    <w:p>
      <w:pPr>
        <w:pStyle w:val="ListParagraph"/>
        <w:numPr>
          <w:ilvl w:val="0"/>
          <w:numId w:val="2"/>
        </w:numPr>
        <w:spacing w:before="40" w:after="40"/>
      </w:pPr>
      <w:r>
        <w:rPr>
          <w:sz w:val="22"/>
          <w:szCs w:val="22"/>
        </w:rPr>
        <w:t xml:space="preserve">Architecture sweep: encoder [128, 64] → latent [32] → decoder [64, 128]; test [256, 128, 64] for distinction level</w:t>
      </w:r>
    </w:p>
    <w:p>
      <w:pPr>
        <w:pStyle w:val="ListParagraph"/>
        <w:numPr>
          <w:ilvl w:val="0"/>
          <w:numId w:val="2"/>
        </w:numPr>
        <w:spacing w:before="40" w:after="40"/>
      </w:pPr>
      <w:r>
        <w:rPr>
          <w:sz w:val="22"/>
          <w:szCs w:val="22"/>
        </w:rPr>
        <w:t xml:space="preserve">Regularisation: dropout=0.2 on LSTM layers; gradient clipping (max_norm=1.0)</w:t>
      </w:r>
    </w:p>
    <w:p>
      <w:pPr>
        <w:spacing w:before="80" w:after="80"/>
      </w:pPr>
      <w:r>
        <w:t xml:space="preserve"/>
      </w:r>
    </w:p>
    <w:p>
      <w:pPr>
        <w:pStyle w:val="Heading3"/>
        <w:spacing w:before="200" w:after="80"/>
      </w:pPr>
      <w:r>
        <w:rPr>
          <w:b/>
          <w:bCs/>
          <w:color w:val="2F5496"/>
          <w:sz w:val="24"/>
          <w:szCs w:val="24"/>
        </w:rPr>
        <w:t xml:space="preserve">Causal Inference Parameters</w:t>
      </w:r>
    </w:p>
    <w:p>
      <w:pPr>
        <w:pStyle w:val="ListParagraph"/>
        <w:numPr>
          <w:ilvl w:val="0"/>
          <w:numId w:val="2"/>
        </w:numPr>
        <w:spacing w:before="40" w:after="40"/>
      </w:pPr>
      <w:r>
        <w:rPr>
          <w:sz w:val="22"/>
          <w:szCs w:val="22"/>
        </w:rPr>
        <w:t xml:space="preserve">Granger test: VAR model with lag selection via BIC criterion; test at lags [1, 2, 3, 6, 12] time steps</w:t>
      </w:r>
    </w:p>
    <w:p>
      <w:pPr>
        <w:pStyle w:val="ListParagraph"/>
        <w:numPr>
          <w:ilvl w:val="0"/>
          <w:numId w:val="2"/>
        </w:numPr>
        <w:spacing w:before="40" w:after="40"/>
      </w:pPr>
      <w:r>
        <w:rPr>
          <w:sz w:val="22"/>
          <w:szCs w:val="22"/>
        </w:rPr>
        <w:t xml:space="preserve">PC algorithm: significance level α = 0.05; independence test = partial correlation (Gaussian assumption)</w:t>
      </w:r>
    </w:p>
    <w:p>
      <w:pPr>
        <w:pStyle w:val="ListParagraph"/>
        <w:numPr>
          <w:ilvl w:val="0"/>
          <w:numId w:val="2"/>
        </w:numPr>
        <w:spacing w:before="40" w:after="40"/>
      </w:pPr>
      <w:r>
        <w:rPr>
          <w:sz w:val="22"/>
          <w:szCs w:val="22"/>
        </w:rPr>
        <w:t xml:space="preserve">Temporal precedence: only allow edges A→B if anomaly onset(A) &lt; onset(B)</w:t>
      </w:r>
    </w:p>
    <w:p>
      <w:pPr>
        <w:spacing w:before="80" w:after="80"/>
      </w:pPr>
      <w:r>
        <w:t xml:space="preserve"/>
      </w:r>
    </w:p>
    <w:p>
      <w:pPr>
        <w:pStyle w:val="Heading2"/>
        <w:spacing w:before="280" w:after="120"/>
      </w:pPr>
      <w:r>
        <w:rPr>
          <w:b/>
          <w:bCs/>
          <w:color w:val="2E75B6"/>
          <w:sz w:val="28"/>
          <w:szCs w:val="28"/>
        </w:rPr>
        <w:t xml:space="preserve">7.2 Evaluation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1300"/>
        <w:gridCol w:w="14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Task</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Primary Metric</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Secondary Metrics</w:t>
            </w:r>
          </w:p>
        </w:tc>
        <w:tc>
          <w:tcPr>
            <w:tcW w:type="dxa" w:w="1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Target (MVP)</w:t>
            </w:r>
          </w:p>
        </w:tc>
        <w:tc>
          <w:tcPr>
            <w:tcW w:type="dxa" w:w="14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Target (Distinction)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Anomaly detection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F1 score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Precision, Recall, AUROC</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F1 &gt; 0.77</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F1 &gt; 0.85</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Root cause ranking</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Top-1 Accuracy</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Top-3 Accuracy, MRR</w:t>
            </w:r>
          </w:p>
        </w:tc>
        <w:tc>
          <w:tcPr>
            <w:tcW w:type="dxa" w:w="1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&gt;60%</w:t>
            </w:r>
          </w:p>
        </w:tc>
        <w:tc>
          <w:tcPr>
            <w:tcW w:type="dxa" w:w="1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&gt;70%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Root cause ranking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Mean Reciprocal Rank</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NDCG@3</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&gt;0.70</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&gt;0.80</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Latency (end-to-end)</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P95 detection time</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P50 detection time</w:t>
            </w:r>
          </w:p>
        </w:tc>
        <w:tc>
          <w:tcPr>
            <w:tcW w:type="dxa" w:w="1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&lt;5 min</w:t>
            </w:r>
          </w:p>
        </w:tc>
        <w:tc>
          <w:tcPr>
            <w:tcW w:type="dxa" w:w="1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&lt;2 min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Causal chain quality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Precision@k (causal edges)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Recall@k</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&gt;0.60</w:t>
            </w:r>
          </w:p>
        </w:tc>
        <w:tc>
          <w:tcPr>
            <w:tcW w:type="dxa" w:w="1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&gt;0.75</w:t>
            </w:r>
          </w:p>
        </w:tc>
      </w:tr>
    </w:tbl>
    <w:p>
      <w:pPr>
        <w:spacing w:before="80" w:after="80"/>
      </w:pPr>
      <w:r>
        <w:t xml:space="preserve"/>
      </w:r>
    </w:p>
    <w:p>
      <w:pPr>
        <w:pStyle w:val="Heading3"/>
        <w:spacing w:before="200" w:after="80"/>
      </w:pPr>
      <w:r>
        <w:rPr>
          <w:b/>
          <w:bCs/>
          <w:color w:val="2F5496"/>
          <w:sz w:val="24"/>
          <w:szCs w:val="24"/>
        </w:rPr>
        <w:t xml:space="preserve">Baseline Comparisons</w:t>
      </w:r>
    </w:p>
    <w:p>
      <w:pPr>
        <w:pStyle w:val="ListParagraph"/>
        <w:numPr>
          <w:ilvl w:val="0"/>
          <w:numId w:val="2"/>
        </w:numPr>
        <w:spacing w:before="40" w:after="40"/>
      </w:pPr>
      <w:r>
        <w:rPr>
          <w:sz w:val="22"/>
          <w:szCs w:val="22"/>
        </w:rPr>
        <w:t xml:space="preserve">Baseline 1 (Static threshold): Alert when metric &gt; mean + 3σ; root cause = first metric to breach threshold</w:t>
      </w:r>
    </w:p>
    <w:p>
      <w:pPr>
        <w:pStyle w:val="ListParagraph"/>
        <w:numPr>
          <w:ilvl w:val="0"/>
          <w:numId w:val="2"/>
        </w:numPr>
        <w:spacing w:before="40" w:after="40"/>
      </w:pPr>
      <w:r>
        <w:rPr>
          <w:sz w:val="22"/>
          <w:szCs w:val="22"/>
        </w:rPr>
        <w:t xml:space="preserve">Baseline 2 (Correlation): Root cause = metric with highest correlation to error rate at lag 0–6</w:t>
      </w:r>
    </w:p>
    <w:p>
      <w:pPr>
        <w:pStyle w:val="ListParagraph"/>
        <w:numPr>
          <w:ilvl w:val="0"/>
          <w:numId w:val="2"/>
        </w:numPr>
        <w:spacing w:before="40" w:after="40"/>
      </w:pPr>
      <w:r>
        <w:rPr>
          <w:sz w:val="22"/>
          <w:szCs w:val="22"/>
        </w:rPr>
        <w:t xml:space="preserve">Baseline 3 (Isolation Forest): sklearn IsolationForest on windowed features; compare to LSTM reconstruction</w:t>
      </w:r>
    </w:p>
    <w:p>
      <w:pPr>
        <w:spacing w:before="80" w:after="80"/>
      </w:pPr>
      <w:r>
        <w:t xml:space="preserve"/>
      </w:r>
    </w:p>
    <w:p>
      <w:pPr>
        <w:pStyle w:val="Heading2"/>
        <w:spacing w:before="280" w:after="120"/>
      </w:pPr>
      <w:r>
        <w:rPr>
          <w:b/>
          <w:bCs/>
          <w:color w:val="2E75B6"/>
          <w:sz w:val="28"/>
          <w:szCs w:val="28"/>
        </w:rPr>
        <w:t xml:space="preserve">7.3 Validation Strategy</w:t>
      </w:r>
    </w:p>
    <w:p>
      <w:pPr>
        <w:pStyle w:val="ListParagraph"/>
        <w:numPr>
          <w:ilvl w:val="0"/>
          <w:numId w:val="2"/>
        </w:numPr>
        <w:spacing w:before="40" w:after="40"/>
      </w:pPr>
      <w:r>
        <w:rPr>
          <w:sz w:val="22"/>
          <w:szCs w:val="22"/>
        </w:rPr>
        <w:t xml:space="preserve">Training set: 30 days healthy data (all metrics)</w:t>
      </w:r>
    </w:p>
    <w:p>
      <w:pPr>
        <w:pStyle w:val="ListParagraph"/>
        <w:numPr>
          <w:ilvl w:val="0"/>
          <w:numId w:val="2"/>
        </w:numPr>
        <w:spacing w:before="40" w:after="40"/>
      </w:pPr>
      <w:r>
        <w:rPr>
          <w:sz w:val="22"/>
          <w:szCs w:val="22"/>
        </w:rPr>
        <w:t xml:space="preserve">Validation set: 5 days healthy + 20 synthetic failure scenarios (held-out during training)</w:t>
      </w:r>
    </w:p>
    <w:p>
      <w:pPr>
        <w:pStyle w:val="ListParagraph"/>
        <w:numPr>
          <w:ilvl w:val="0"/>
          <w:numId w:val="2"/>
        </w:numPr>
        <w:spacing w:before="40" w:after="40"/>
      </w:pPr>
      <w:r>
        <w:rPr>
          <w:sz w:val="22"/>
          <w:szCs w:val="22"/>
        </w:rPr>
        <w:t xml:space="preserve">Test set: 30 additional synthetic scenarios + evaluation on ≥1 public benchmark (AIOps 2020 dataset recommended)</w:t>
      </w:r>
    </w:p>
    <w:p>
      <w:pPr>
        <w:pStyle w:val="ListParagraph"/>
        <w:numPr>
          <w:ilvl w:val="0"/>
          <w:numId w:val="2"/>
        </w:numPr>
        <w:spacing w:before="40" w:after="40"/>
      </w:pPr>
      <w:r>
        <w:rPr>
          <w:sz w:val="22"/>
          <w:szCs w:val="22"/>
        </w:rPr>
        <w:t xml:space="preserve">Temporal split strictly enforced: training data always precedes validation and test data in time</w:t>
      </w:r>
    </w:p>
    <w:p>
      <w:pPr>
        <w:pStyle w:val="ListParagraph"/>
        <w:numPr>
          <w:ilvl w:val="0"/>
          <w:numId w:val="2"/>
        </w:numPr>
        <w:spacing w:before="40" w:after="40"/>
      </w:pPr>
      <w:r>
        <w:rPr>
          <w:sz w:val="22"/>
          <w:szCs w:val="22"/>
        </w:rPr>
        <w:t xml:space="preserve">Cross-validation: 5-fold time-series CV on the synthetic dataset for hyperparameter selection</w:t>
      </w:r>
    </w:p>
    <w:p>
      <w:pPr>
        <w:spacing w:before="80" w:after="80"/>
      </w:pPr>
      <w:r>
        <w:t xml:space="preserve"/>
      </w:r>
    </w:p>
    <w:p>
      <w:pPr>
        <w:pStyle w:val="Heading2"/>
        <w:spacing w:before="280" w:after="120"/>
      </w:pPr>
      <w:r>
        <w:rPr>
          <w:b/>
          <w:bCs/>
          <w:color w:val="2E75B6"/>
          <w:sz w:val="28"/>
          <w:szCs w:val="28"/>
        </w:rPr>
        <w:t xml:space="preserve">7.4 Ablation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Ablation</w:t>
            </w:r>
          </w:p>
        </w:tc>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What is Removed</w:t>
            </w:r>
          </w:p>
        </w:tc>
        <w:tc>
          <w:tcPr>
            <w:tcW w:type="dxa" w:w="4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Expected Finding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 causal inference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Remove PC algorithm; use pure Granger</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Top-1 accuracy drops ~10%; more false causal edges</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No event correlation</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Remove CI/CD event joining</w:t>
            </w:r>
          </w:p>
        </w:tc>
        <w:tc>
          <w:tcPr>
            <w:tcW w:type="dxa" w:w="4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Confidence drops for deployment-triggered failures (Case Study 1 analogue)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LSTM vs Isolation Forest</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Replace LSTM with Isolation Forest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F1 drops 5–15% on slow-onset failures (memory leak pattern)</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No temporal precedence filter</w:t>
            </w:r>
          </w:p>
        </w:tc>
        <w:tc>
          <w:tcPr>
            <w:tcW w:type="dxa" w:w="3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Allow bidirectional causal edges</w:t>
            </w:r>
          </w:p>
        </w:tc>
        <w:tc>
          <w:tcPr>
            <w:tcW w:type="dxa" w:w="41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Root cause ranking degrades; causes and effects swapped in ~30% of cases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Single metric vs multivariate</w:t>
            </w:r>
          </w:p>
        </w:tc>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Train one LSTM per metric</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Misses inter-metric correlations; higher false-positive rate</w:t>
            </w:r>
          </w:p>
        </w:tc>
      </w:tr>
    </w:tbl>
    <w:p>
      <w:pPr>
        <w:spacing w:before="80" w:after="80"/>
      </w:pPr>
      <w:r>
        <w:t xml:space="preserve"/>
      </w:r>
    </w:p>
    <w:p>
      <w:pPr>
        <w:pStyle w:val="Heading3"/>
        <w:spacing w:before="200" w:after="80"/>
      </w:pPr>
      <w:r>
        <w:rPr>
          <w:b/>
          <w:bCs/>
          <w:color w:val="2F5496"/>
          <w:sz w:val="24"/>
          <w:szCs w:val="24"/>
        </w:rPr>
        <w:t xml:space="preserve">Explainability / Interpretability</w:t>
      </w:r>
    </w:p>
    <w:p>
      <w:pPr>
        <w:pStyle w:val="ListParagraph"/>
        <w:numPr>
          <w:ilvl w:val="0"/>
          <w:numId w:val="2"/>
        </w:numPr>
        <w:spacing w:before="40" w:after="40"/>
      </w:pPr>
      <w:r>
        <w:rPr>
          <w:sz w:val="22"/>
          <w:szCs w:val="22"/>
        </w:rPr>
        <w:t xml:space="preserve">LSTM attention weights: visualise which time steps contributed most to high reconstruction error</w:t>
      </w:r>
    </w:p>
    <w:p>
      <w:pPr>
        <w:pStyle w:val="ListParagraph"/>
        <w:numPr>
          <w:ilvl w:val="0"/>
          <w:numId w:val="2"/>
        </w:numPr>
        <w:spacing w:before="40" w:after="40"/>
      </w:pPr>
      <w:r>
        <w:rPr>
          <w:sz w:val="22"/>
          <w:szCs w:val="22"/>
        </w:rPr>
        <w:t xml:space="preserve">SHAP values: compute on the anomaly score output to show per-metric feature importance</w:t>
      </w:r>
    </w:p>
    <w:p>
      <w:pPr>
        <w:pStyle w:val="ListParagraph"/>
        <w:numPr>
          <w:ilvl w:val="0"/>
          <w:numId w:val="2"/>
        </w:numPr>
        <w:spacing w:before="40" w:after="40"/>
      </w:pPr>
      <w:r>
        <w:rPr>
          <w:sz w:val="22"/>
          <w:szCs w:val="22"/>
        </w:rPr>
        <w:t xml:space="preserve">Causal chain narrative: auto-generate English description from the ranked causal graph using a template engine</w:t>
      </w:r>
    </w:p>
    <w:p>
      <w:pPr>
        <w:pStyle w:val="ListParagraph"/>
        <w:numPr>
          <w:ilvl w:val="0"/>
          <w:numId w:val="2"/>
        </w:numPr>
        <w:spacing w:before="40" w:after="40"/>
      </w:pPr>
      <w:r>
        <w:rPr>
          <w:sz w:val="22"/>
          <w:szCs w:val="22"/>
        </w:rPr>
        <w:t xml:space="preserve">Counterfactual explanation (stretch): 'If db_query_latency had remained normal, error_rate would not have exceeded 5%'</w:t>
      </w:r>
    </w:p>
    <w:p>
      <w:pPr>
        <w:spacing w:before="80" w:after="80"/>
      </w:pPr>
      <w:r>
        <w:t xml:space="preserve"/>
      </w:r>
    </w:p>
    <w:p>
      <w:pPr>
        <w:pStyle w:val="Heading1"/>
        <w:pBdr>
          <w:bottom w:val="single" w:color="2E75B6" w:sz="6" w:space="1"/>
        </w:pBdr>
        <w:spacing w:before="360" w:after="180"/>
      </w:pPr>
      <w:r>
        <w:rPr>
          <w:b/>
          <w:bCs/>
          <w:color w:val="1F4E79"/>
          <w:sz w:val="36"/>
          <w:szCs w:val="36"/>
        </w:rPr>
        <w:t xml:space="preserve">8. Deployment, Serving &amp; Maintenance</w:t>
      </w:r>
    </w:p>
    <w:p>
      <w:pPr>
        <w:pStyle w:val="Heading2"/>
        <w:spacing w:before="280" w:after="120"/>
      </w:pPr>
      <w:r>
        <w:rPr>
          <w:b/>
          <w:bCs/>
          <w:color w:val="2E75B6"/>
          <w:sz w:val="28"/>
          <w:szCs w:val="28"/>
        </w:rPr>
        <w:t xml:space="preserve">8.1 Serving Architecture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200"/>
        <w:gridCol w:w="2200"/>
        <w:gridCol w:w="960"/>
      </w:tblGrid>
      <w:tr>
        <w:trPr>
          <w:tblHeader/>
        </w:trPr>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Option</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Description</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Pros</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Cons</w:t>
            </w:r>
          </w:p>
        </w:tc>
        <w:tc>
          <w:tcPr>
            <w:tcW w:type="dxa" w:w="9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Recommendation</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Local Docker Compose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All services on one machine: Prometheus, TimescaleDB, LSTM inference, FastAPI, Streamlit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Simple; zero cost; reproducible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Not scalable beyond one machine</w:t>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Default for project demo</w:t>
            </w:r>
          </w:p>
        </w:tc>
      </w:tr>
      <w:tr>
        <w:tc>
          <w:tcPr>
            <w:tcW w:type="dxa" w:w="1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Cloud serverless (AWS Lambda)</w:t>
            </w:r>
          </w:p>
        </w:tc>
        <w:tc>
          <w:tcPr>
            <w:tcW w:type="dxa" w:w="2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Inference function triggered by CloudWatch alarm</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Scalable; pay-per-use</w:t>
            </w:r>
          </w:p>
        </w:tc>
        <w:tc>
          <w:tcPr>
            <w:tcW w:type="dxa" w:w="22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Cold start latency; complex setup</w:t>
            </w:r>
          </w:p>
        </w:tc>
        <w:tc>
          <w:tcPr>
            <w:tcW w:type="dxa" w:w="9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Stretch goal / publication</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Kubernetes (k3s)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Full orchestration; auto-scaling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Production-realistic</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Complex; overkill for project</w:t>
            </w:r>
          </w:p>
        </w:tc>
        <w:tc>
          <w:tcPr>
            <w:tcW w:type="dxa" w:w="9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Mention in report as production path</w:t>
            </w:r>
          </w:p>
        </w:tc>
      </w:tr>
    </w:tbl>
    <w:p>
      <w:pPr>
        <w:spacing w:before="80" w:after="80"/>
      </w:pPr>
      <w:r>
        <w:t xml:space="preserve"/>
      </w:r>
    </w:p>
    <w:p>
      <w:pPr>
        <w:spacing w:before="60" w:after="80"/>
      </w:pPr>
      <w:r>
        <w:rPr>
          <w:sz w:val="22"/>
          <w:szCs w:val="22"/>
        </w:rPr>
        <w:t xml:space="preserve">Recommended default: Docker Compose stack with 5 containers: prometheus, timescaledb, rca-collector, rca-inference, rca-api. Single docker-compose up command starts the full system.</w:t>
      </w:r>
    </w:p>
    <w:p>
      <w:pPr>
        <w:spacing w:before="80" w:after="80"/>
      </w:pPr>
      <w:r>
        <w:t xml:space="preserve"/>
      </w:r>
    </w:p>
    <w:p>
      <w:pPr>
        <w:pStyle w:val="Heading2"/>
        <w:spacing w:before="280" w:after="120"/>
      </w:pPr>
      <w:r>
        <w:rPr>
          <w:b/>
          <w:bCs/>
          <w:color w:val="2E75B6"/>
          <w:sz w:val="28"/>
          <w:szCs w:val="28"/>
        </w:rPr>
        <w:t xml:space="preserve">8.2 CI/CD &amp; Model Update Workflow</w:t>
      </w:r>
    </w:p>
    <w:p>
      <w:pPr>
        <w:pStyle w:val="ListParagraph"/>
        <w:numPr>
          <w:ilvl w:val="0"/>
          <w:numId w:val="3"/>
        </w:numPr>
        <w:spacing w:before="40" w:after="40"/>
      </w:pPr>
      <w:r>
        <w:rPr>
          <w:sz w:val="22"/>
          <w:szCs w:val="22"/>
        </w:rPr>
        <w:t xml:space="preserve">Code changes → GitHub PR → GitHub Actions runs: linting (ruff), unit tests (pytest), integration test (synthetic failure end-to-end)</w:t>
      </w:r>
    </w:p>
    <w:p>
      <w:pPr>
        <w:pStyle w:val="ListParagraph"/>
        <w:numPr>
          <w:ilvl w:val="0"/>
          <w:numId w:val="3"/>
        </w:numPr>
        <w:spacing w:before="40" w:after="40"/>
      </w:pPr>
      <w:r>
        <w:rPr>
          <w:sz w:val="22"/>
          <w:szCs w:val="22"/>
        </w:rPr>
        <w:t xml:space="preserve">Model retraining trigger: scheduled weekly (cron) or when data drift detected (see 8.3)</w:t>
      </w:r>
    </w:p>
    <w:p>
      <w:pPr>
        <w:pStyle w:val="ListParagraph"/>
        <w:numPr>
          <w:ilvl w:val="0"/>
          <w:numId w:val="3"/>
        </w:numPr>
        <w:spacing w:before="40" w:after="40"/>
      </w:pPr>
      <w:r>
        <w:rPr>
          <w:sz w:val="22"/>
          <w:szCs w:val="22"/>
        </w:rPr>
        <w:t xml:space="preserve">Retraining pipeline: pull latest 30-day healthy window → train LSTM → evaluate on held-out validation set → if F1 improves: promote to production</w:t>
      </w:r>
    </w:p>
    <w:p>
      <w:pPr>
        <w:pStyle w:val="ListParagraph"/>
        <w:numPr>
          <w:ilvl w:val="0"/>
          <w:numId w:val="3"/>
        </w:numPr>
        <w:spacing w:before="40" w:after="40"/>
      </w:pPr>
      <w:r>
        <w:rPr>
          <w:sz w:val="22"/>
          <w:szCs w:val="22"/>
        </w:rPr>
        <w:t xml:space="preserve">Model versioning: MLflow registers model with version tag and evaluation metrics; rollback to previous version if regression detected</w:t>
      </w:r>
    </w:p>
    <w:p>
      <w:pPr>
        <w:pStyle w:val="ListParagraph"/>
        <w:numPr>
          <w:ilvl w:val="0"/>
          <w:numId w:val="3"/>
        </w:numPr>
        <w:spacing w:before="40" w:after="40"/>
      </w:pPr>
      <w:r>
        <w:rPr>
          <w:sz w:val="22"/>
          <w:szCs w:val="22"/>
        </w:rPr>
        <w:t xml:space="preserve">Config management: all thresholds, hyperparameters, and data paths in a single config.yaml versioned in Git</w:t>
      </w:r>
    </w:p>
    <w:p>
      <w:pPr>
        <w:spacing w:before="80" w:after="80"/>
      </w:pPr>
      <w:r>
        <w:t xml:space="preserve"/>
      </w:r>
    </w:p>
    <w:p>
      <w:pPr>
        <w:pStyle w:val="Heading2"/>
        <w:spacing w:before="280" w:after="120"/>
      </w:pPr>
      <w:r>
        <w:rPr>
          <w:b/>
          <w:bCs/>
          <w:color w:val="2E75B6"/>
          <w:sz w:val="28"/>
          <w:szCs w:val="28"/>
        </w:rPr>
        <w:t xml:space="preserve">8.3 Monitoring Metrics &amp; Alerting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Monitor</w:t>
            </w:r>
          </w:p>
        </w:tc>
        <w:tc>
          <w:tcPr>
            <w:tcW w:type="dxa" w:w="2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Metric</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Alert Threshold</w:t>
            </w:r>
          </w:p>
        </w:tc>
        <w:tc>
          <w:tcPr>
            <w:tcW w:type="dxa" w:w="28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Action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Anomaly detector</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F1 on weekly synthetic test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F1 drops &gt;5%</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Trigger retraining; notify via Slack webhook</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Data drift</w:t>
            </w:r>
          </w:p>
        </w:tc>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KL divergence of input metric distribution vs. training distribution</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&gt;0.3 per metric</w:t>
            </w:r>
          </w:p>
        </w:tc>
        <w:tc>
          <w:tcPr>
            <w:tcW w:type="dxa" w:w="2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Flag metric for review; retrain within 72 hrs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Latency</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P95 detection time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&gt;5 minutes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Check causal engine; reduce candidate metric set</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Error rate</w:t>
            </w:r>
          </w:p>
        </w:tc>
        <w:tc>
          <w:tcPr>
            <w:tcW w:type="dxa" w:w="2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API 5xx rate</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&gt;1%</w:t>
            </w:r>
          </w:p>
        </w:tc>
        <w:tc>
          <w:tcPr>
            <w:tcW w:type="dxa" w:w="28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Check logs; restart inference container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False positive rate</w:t>
            </w:r>
          </w:p>
        </w:tc>
        <w:tc>
          <w:tcPr>
            <w:tcW w:type="dxa" w:w="2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Weekly: incidents with no root cause found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&gt;30% of incidents</w:t>
            </w:r>
          </w:p>
        </w:tc>
        <w:tc>
          <w:tcPr>
            <w:tcW w:type="dxa" w:w="28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Tune anomaly threshold upward</w:t>
            </w:r>
          </w:p>
        </w:tc>
      </w:tr>
    </w:tbl>
    <w:p>
      <w:pPr>
        <w:spacing w:before="80" w:after="80"/>
      </w:pPr>
      <w:r>
        <w:t xml:space="preserve"/>
      </w:r>
    </w:p>
    <w:p>
      <w:pPr>
        <w:pStyle w:val="Heading2"/>
        <w:spacing w:before="280" w:after="120"/>
      </w:pPr>
      <w:r>
        <w:rPr>
          <w:b/>
          <w:bCs/>
          <w:color w:val="2E75B6"/>
          <w:sz w:val="28"/>
          <w:szCs w:val="28"/>
        </w:rPr>
        <w:t xml:space="preserve">8.4 Logging, Observability &amp; Reproducibility</w:t>
      </w:r>
    </w:p>
    <w:p>
      <w:pPr>
        <w:pStyle w:val="ListParagraph"/>
        <w:numPr>
          <w:ilvl w:val="0"/>
          <w:numId w:val="2"/>
        </w:numPr>
        <w:spacing w:before="40" w:after="40"/>
      </w:pPr>
      <w:r>
        <w:rPr>
          <w:sz w:val="22"/>
          <w:szCs w:val="22"/>
        </w:rPr>
        <w:t xml:space="preserve">Structured logging (JSON) at all pipeline stages with fields: timestamp, module, level, incident_id, metric_name, value, duration_ms</w:t>
      </w:r>
    </w:p>
    <w:p>
      <w:pPr>
        <w:pStyle w:val="ListParagraph"/>
        <w:numPr>
          <w:ilvl w:val="0"/>
          <w:numId w:val="2"/>
        </w:numPr>
        <w:spacing w:before="40" w:after="40"/>
      </w:pPr>
      <w:r>
        <w:rPr>
          <w:sz w:val="22"/>
          <w:szCs w:val="22"/>
        </w:rPr>
        <w:t xml:space="preserve">Distributed tracing: add OpenTelemetry spans to track a single incident's journey through all 6 modules</w:t>
      </w:r>
    </w:p>
    <w:p>
      <w:pPr>
        <w:pStyle w:val="ListParagraph"/>
        <w:numPr>
          <w:ilvl w:val="0"/>
          <w:numId w:val="2"/>
        </w:numPr>
        <w:spacing w:before="40" w:after="40"/>
      </w:pPr>
      <w:r>
        <w:rPr>
          <w:sz w:val="22"/>
          <w:szCs w:val="22"/>
        </w:rPr>
        <w:t xml:space="preserve">Reproducibility: pin all Python dependency versions in requirements.txt; use Docker for environment isolation; seed random generators</w:t>
      </w:r>
    </w:p>
    <w:p>
      <w:pPr>
        <w:pStyle w:val="ListParagraph"/>
        <w:numPr>
          <w:ilvl w:val="0"/>
          <w:numId w:val="2"/>
        </w:numPr>
        <w:spacing w:before="40" w:after="40"/>
      </w:pPr>
      <w:r>
        <w:rPr>
          <w:sz w:val="22"/>
          <w:szCs w:val="22"/>
        </w:rPr>
        <w:t xml:space="preserve">Experiment reproducibility: each MLflow run logs: config.yaml snapshot, training data hash, validation metrics, and model artifact</w:t>
      </w:r>
    </w:p>
    <w:p>
      <w:pPr>
        <w:pStyle w:val="ListParagraph"/>
        <w:numPr>
          <w:ilvl w:val="0"/>
          <w:numId w:val="2"/>
        </w:numPr>
        <w:spacing w:before="40" w:after="40"/>
      </w:pPr>
      <w:r>
        <w:rPr>
          <w:sz w:val="22"/>
          <w:szCs w:val="22"/>
        </w:rPr>
        <w:t xml:space="preserve">Data lineage: DVC tracks dataset versions; each evaluation references a specific dataset version by hash</w:t>
      </w:r>
    </w:p>
    <w:p>
      <w:pPr>
        <w:spacing w:before="80" w:after="80"/>
      </w:pPr>
      <w:r>
        <w:t xml:space="preserve"/>
      </w:r>
    </w:p>
    <w:p>
      <w:pPr>
        <w:pStyle w:val="Heading1"/>
        <w:pBdr>
          <w:bottom w:val="single" w:color="2E75B6" w:sz="6" w:space="1"/>
        </w:pBdr>
        <w:spacing w:before="360" w:after="180"/>
      </w:pPr>
      <w:r>
        <w:rPr>
          <w:b/>
          <w:bCs/>
          <w:color w:val="1F4E79"/>
          <w:sz w:val="36"/>
          <w:szCs w:val="36"/>
        </w:rPr>
        <w:t xml:space="preserve">9. Deliverables Checklist &amp; Documentation</w:t>
      </w:r>
    </w:p>
    <w:p>
      <w:pPr>
        <w:pStyle w:val="Heading2"/>
        <w:spacing w:before="280" w:after="120"/>
      </w:pPr>
      <w:r>
        <w:rPr>
          <w:b/>
          <w:bCs/>
          <w:color w:val="2E75B6"/>
          <w:sz w:val="28"/>
          <w:szCs w:val="28"/>
        </w:rPr>
        <w:t xml:space="preserve">9.1 Artefacts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3600"/>
        <w:gridCol w:w="3360"/>
      </w:tblGrid>
      <w:tr>
        <w:trPr>
          <w:tblHeader/>
        </w:trPr>
        <w:tc>
          <w:tcPr>
            <w:tcW w:type="dxa" w:w="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Artefact</w:t>
            </w:r>
          </w:p>
        </w:tc>
        <w:tc>
          <w:tcPr>
            <w:tcW w:type="dxa" w:w="3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Description</w:t>
            </w:r>
          </w:p>
        </w:tc>
        <w:tc>
          <w:tcPr>
            <w:tcW w:type="dxa" w:w="3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Format</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Source code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All modules: ingestion, preprocessing, LSTM, causal engine, ranker, API, dashboard</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GitHub repo (Python, JS)</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2</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Trained model</w:t>
            </w:r>
          </w:p>
        </w:tc>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LSTM autoencoder weights + normalisation parameters</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PyTorch .pt file + config.yaml</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Synthetic dataset</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≥200 labelled failure scenarios with ground-truth causal chains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HDF5 + JSONL labels</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4</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Dataset description</w:t>
            </w:r>
          </w:p>
        </w:tc>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Data card: sources, schema, splits, known biases, licence</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Markdown / PDF</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README</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Installation, usage, quickstart, architecture overview, citation</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README.md in repo root</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6</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Experiment table</w:t>
            </w:r>
          </w:p>
        </w:tc>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All training runs with hyperparameters and metrics</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MLflow UI + exported CSV</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7</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Reproducibility scripts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train.py, evaluate.py, generate_failures.py with CLI flags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Python scripts</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8</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Final report</w:t>
            </w:r>
          </w:p>
        </w:tc>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See 9.2 for structure; 30–60 pages</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PDF (LaTeX or Word)</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9</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Presentation slides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15–20 slides covering problem, architecture, results, demo</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PowerPoint / PDF</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10</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Demo video</w:t>
            </w:r>
          </w:p>
        </w:tc>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3–5 minute walkthrough of end-to-end system on synthetic incident</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MP4</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Model card</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Intended use, limitations, evaluation results, ethical considerations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Markdown</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12</w:t>
            </w:r>
          </w:p>
        </w:tc>
        <w:tc>
          <w:tcPr>
            <w:tcW w:type="dxa" w:w="2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Docker Compose file</w:t>
            </w:r>
          </w:p>
        </w:tc>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One-command deployment of full stack</w:t>
            </w:r>
          </w:p>
        </w:tc>
        <w:tc>
          <w:tcPr>
            <w:tcW w:type="dxa" w:w="3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docker-compose.yml</w:t>
            </w:r>
          </w:p>
        </w:tc>
      </w:tr>
    </w:tbl>
    <w:p>
      <w:pPr>
        <w:spacing w:before="80" w:after="80"/>
      </w:pPr>
      <w:r>
        <w:t xml:space="preserve"/>
      </w:r>
    </w:p>
    <w:p>
      <w:pPr>
        <w:pStyle w:val="Heading2"/>
        <w:spacing w:before="280" w:after="120"/>
      </w:pPr>
      <w:r>
        <w:rPr>
          <w:b/>
          <w:bCs/>
          <w:color w:val="2E75B6"/>
          <w:sz w:val="28"/>
          <w:szCs w:val="28"/>
        </w:rPr>
        <w:t xml:space="preserve">9.2 Final Report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400"/>
        <w:gridCol w:w="1360"/>
      </w:tblGrid>
      <w:tr>
        <w:trPr>
          <w:tblHeader/>
        </w:trPr>
        <w:tc>
          <w:tcPr>
            <w:tcW w:type="dxa" w:w="3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Chapter</w:t>
            </w:r>
          </w:p>
        </w:tc>
        <w:tc>
          <w:tcPr>
            <w:tcW w:type="dxa" w:w="4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Content</w:t>
            </w:r>
          </w:p>
        </w:tc>
        <w:tc>
          <w:tcPr>
            <w:tcW w:type="dxa" w:w="1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Approximate Pages</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Abstract</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150-word summary of problem, approach, key results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0.5</w:t>
            </w:r>
          </w:p>
        </w:tc>
      </w:tr>
      <w:tr>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1. Introduction</w:t>
            </w:r>
          </w:p>
        </w:tc>
        <w:tc>
          <w:tcPr>
            <w:tcW w:type="dxa" w:w="4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Problem motivation; research questions; contributions</w:t>
            </w:r>
          </w:p>
        </w:tc>
        <w:tc>
          <w:tcPr>
            <w:tcW w:type="dxa" w:w="1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3–4</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 Background &amp; Related Work</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RCA approaches; LSTM autoencoders; Granger causality; CloudRCA; RUN; MULAN</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6–8</w:t>
            </w:r>
          </w:p>
        </w:tc>
      </w:tr>
      <w:tr>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3. System Architecture</w:t>
            </w:r>
          </w:p>
        </w:tc>
        <w:tc>
          <w:tcPr>
            <w:tcW w:type="dxa" w:w="4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All 6 modules with diagrams; design decisions and trade-offs</w:t>
            </w:r>
          </w:p>
        </w:tc>
        <w:tc>
          <w:tcPr>
            <w:tcW w:type="dxa" w:w="1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6–8</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 Data Collection &amp; Synthetic Generation</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Methodology; failure injection scripts; dataset statistics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4–5</w:t>
            </w:r>
          </w:p>
        </w:tc>
      </w:tr>
      <w:tr>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5. Implementation</w:t>
            </w:r>
          </w:p>
        </w:tc>
        <w:tc>
          <w:tcPr>
            <w:tcW w:type="dxa" w:w="4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Module-level implementation details; key code snippets</w:t>
            </w:r>
          </w:p>
        </w:tc>
        <w:tc>
          <w:tcPr>
            <w:tcW w:type="dxa" w:w="1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5–6</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6. Evaluation</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Metrics; baselines; results tables; ablation study; benchmark comparison</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6–8</w:t>
            </w:r>
          </w:p>
        </w:tc>
      </w:tr>
      <w:tr>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7. Case Studies</w:t>
            </w:r>
          </w:p>
        </w:tc>
        <w:tc>
          <w:tcPr>
            <w:tcW w:type="dxa" w:w="4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2–3 replicated case studies from Document 1 using the built system</w:t>
            </w:r>
          </w:p>
        </w:tc>
        <w:tc>
          <w:tcPr>
            <w:tcW w:type="dxa" w:w="1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4–5</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8. Discussion</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Limitations; synthetic-to-real gap; future work; ethical considerations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3–4</w:t>
            </w:r>
          </w:p>
        </w:tc>
      </w:tr>
      <w:tr>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9. Conclusion</w:t>
            </w:r>
          </w:p>
        </w:tc>
        <w:tc>
          <w:tcPr>
            <w:tcW w:type="dxa" w:w="4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Summary of contributions; research questions answered</w:t>
            </w:r>
          </w:p>
        </w:tc>
        <w:tc>
          <w:tcPr>
            <w:tcW w:type="dxa" w:w="1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1–2</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References</w:t>
            </w:r>
          </w:p>
        </w:tc>
        <w:tc>
          <w:tcPr>
            <w:tcW w:type="dxa" w:w="4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30–50 references including CloudRCA, RUN, MULAN, statsmodels</w:t>
            </w:r>
          </w:p>
        </w:tc>
        <w:tc>
          <w:tcPr>
            <w:tcW w:type="dxa" w:w="1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2–3</w:t>
            </w:r>
          </w:p>
        </w:tc>
      </w:tr>
      <w:tr>
        <w:tc>
          <w:tcPr>
            <w:tcW w:type="dxa" w:w="3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Appendix</w:t>
            </w:r>
          </w:p>
        </w:tc>
        <w:tc>
          <w:tcPr>
            <w:tcW w:type="dxa" w:w="4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API spec; data schema; full experiment table; config files</w:t>
            </w:r>
          </w:p>
        </w:tc>
        <w:tc>
          <w:tcPr>
            <w:tcW w:type="dxa" w:w="13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3–5</w:t>
            </w:r>
          </w:p>
        </w:tc>
      </w:tr>
    </w:tbl>
    <w:p>
      <w:pPr>
        <w:spacing w:before="80" w:after="80"/>
      </w:pPr>
      <w:r>
        <w:t xml:space="preserve"/>
      </w:r>
    </w:p>
    <w:p>
      <w:pPr>
        <w:pStyle w:val="Heading2"/>
        <w:spacing w:before="280" w:after="120"/>
      </w:pPr>
      <w:r>
        <w:rPr>
          <w:b/>
          <w:bCs/>
          <w:color w:val="2E75B6"/>
          <w:sz w:val="28"/>
          <w:szCs w:val="28"/>
        </w:rPr>
        <w:t xml:space="preserve">9.3 Demo Script (3–5 Minutes)</w:t>
      </w:r>
    </w:p>
    <w:p>
      <w:pPr>
        <w:pStyle w:val="ListParagraph"/>
        <w:numPr>
          <w:ilvl w:val="0"/>
          <w:numId w:val="3"/>
        </w:numPr>
        <w:spacing w:before="40" w:after="40"/>
      </w:pPr>
      <w:r>
        <w:rPr>
          <w:sz w:val="22"/>
          <w:szCs w:val="22"/>
        </w:rPr>
        <w:t xml:space="preserve">Minute 0:00 — Start: 'This is an incident that occurred at 18:30 on our e-commerce demo system—watch the dashboard light up as the anomaly detector fires'</w:t>
      </w:r>
    </w:p>
    <w:p>
      <w:pPr>
        <w:pStyle w:val="ListParagraph"/>
        <w:numPr>
          <w:ilvl w:val="0"/>
          <w:numId w:val="3"/>
        </w:numPr>
        <w:spacing w:before="40" w:after="40"/>
      </w:pPr>
      <w:r>
        <w:rPr>
          <w:sz w:val="22"/>
          <w:szCs w:val="22"/>
        </w:rPr>
        <w:t xml:space="preserve">Minute 0:30 — Show Streamlit dashboard: timeline of anomaly scores; db_query_latency spike highlighted</w:t>
      </w:r>
    </w:p>
    <w:p>
      <w:pPr>
        <w:pStyle w:val="ListParagraph"/>
        <w:numPr>
          <w:ilvl w:val="0"/>
          <w:numId w:val="3"/>
        </w:numPr>
        <w:spacing w:before="40" w:after="40"/>
      </w:pPr>
      <w:r>
        <w:rPr>
          <w:sz w:val="22"/>
          <w:szCs w:val="22"/>
        </w:rPr>
        <w:t xml:space="preserve">Minute 1:15 — Navigate to 'Causal Graph' tab; show directed graph from db_migration_event → db_query_latency → db_connections → api_latency → error_rate</w:t>
      </w:r>
    </w:p>
    <w:p>
      <w:pPr>
        <w:pStyle w:val="ListParagraph"/>
        <w:numPr>
          <w:ilvl w:val="0"/>
          <w:numId w:val="3"/>
        </w:numPr>
        <w:spacing w:before="40" w:after="40"/>
      </w:pPr>
      <w:r>
        <w:rPr>
          <w:sz w:val="22"/>
          <w:szCs w:val="22"/>
        </w:rPr>
        <w:t xml:space="preserve">Minute 2:00 — Show the auto-generated root cause report: 'Primary root cause: database schema migration at 14:00 (87% confidence)'</w:t>
      </w:r>
    </w:p>
    <w:p>
      <w:pPr>
        <w:pStyle w:val="ListParagraph"/>
        <w:numPr>
          <w:ilvl w:val="0"/>
          <w:numId w:val="3"/>
        </w:numPr>
        <w:spacing w:before="40" w:after="40"/>
      </w:pPr>
      <w:r>
        <w:rPr>
          <w:sz w:val="22"/>
          <w:szCs w:val="22"/>
        </w:rPr>
        <w:t xml:space="preserve">Minute 2:45 — Show REST API response in terminal: curl localhost:8000/report/INC-001</w:t>
      </w:r>
    </w:p>
    <w:p>
      <w:pPr>
        <w:pStyle w:val="ListParagraph"/>
        <w:numPr>
          <w:ilvl w:val="0"/>
          <w:numId w:val="3"/>
        </w:numPr>
        <w:spacing w:before="40" w:after="40"/>
      </w:pPr>
      <w:r>
        <w:rPr>
          <w:sz w:val="22"/>
          <w:szCs w:val="22"/>
        </w:rPr>
        <w:t xml:space="preserve">Minute 3:15 — Run second scenario (memory leak); show the system detects the monotonic trend and correctly ranks 'memory_leak' as root cause</w:t>
      </w:r>
    </w:p>
    <w:p>
      <w:pPr>
        <w:pStyle w:val="ListParagraph"/>
        <w:numPr>
          <w:ilvl w:val="0"/>
          <w:numId w:val="3"/>
        </w:numPr>
        <w:spacing w:before="40" w:after="40"/>
      </w:pPr>
      <w:r>
        <w:rPr>
          <w:sz w:val="22"/>
          <w:szCs w:val="22"/>
        </w:rPr>
        <w:t xml:space="preserve">Minute 4:00 — Show MLflow experiment tracking; compare LSTM vs Isolation Forest F1 scores</w:t>
      </w:r>
    </w:p>
    <w:p>
      <w:pPr>
        <w:pStyle w:val="ListParagraph"/>
        <w:numPr>
          <w:ilvl w:val="0"/>
          <w:numId w:val="3"/>
        </w:numPr>
        <w:spacing w:before="40" w:after="40"/>
      </w:pPr>
      <w:r>
        <w:rPr>
          <w:sz w:val="22"/>
          <w:szCs w:val="22"/>
        </w:rPr>
        <w:t xml:space="preserve">Minute 4:45 — Conclusion: 'Full detection in 3 minutes vs. the 45-minute manual investigation in the original incident'</w:t>
      </w:r>
    </w:p>
    <w:p>
      <w:pPr>
        <w:spacing w:before="80" w:after="80"/>
      </w:pPr>
      <w:r>
        <w:t xml:space="preserve"/>
      </w:r>
    </w:p>
    <w:p>
      <w:pPr>
        <w:pStyle w:val="Heading1"/>
        <w:pBdr>
          <w:bottom w:val="single" w:color="2E75B6" w:sz="6" w:space="1"/>
        </w:pBdr>
        <w:spacing w:before="360" w:after="180"/>
      </w:pPr>
      <w:r>
        <w:rPr>
          <w:b/>
          <w:bCs/>
          <w:color w:val="1F4E79"/>
          <w:sz w:val="36"/>
          <w:szCs w:val="36"/>
        </w:rPr>
        <w:t xml:space="preserve">10. Appendix: Concrete Examples &amp; Templates</w:t>
      </w:r>
    </w:p>
    <w:p>
      <w:pPr>
        <w:pStyle w:val="Heading2"/>
        <w:spacing w:before="280" w:after="120"/>
      </w:pPr>
      <w:r>
        <w:rPr>
          <w:b/>
          <w:bCs/>
          <w:color w:val="2E75B6"/>
          <w:sz w:val="28"/>
          <w:szCs w:val="28"/>
        </w:rPr>
        <w:t xml:space="preserve">10.1 Example API Specification</w:t>
      </w:r>
    </w:p>
    <w:p>
      <w:pPr>
        <w:pStyle w:val="Heading3"/>
        <w:spacing w:before="200" w:after="80"/>
      </w:pPr>
      <w:r>
        <w:rPr>
          <w:b/>
          <w:bCs/>
          <w:color w:val="2F5496"/>
          <w:sz w:val="24"/>
          <w:szCs w:val="24"/>
        </w:rPr>
        <w:t xml:space="preserve">POST /analyze — Trigger RCA on a time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5F5F5" w:val="clear"/>
            <w:tcMar>
              <w:top w:type="dxa" w:w="100"/>
              <w:left w:type="dxa" w:w="180"/>
              <w:bottom w:type="dxa" w:w="100"/>
              <w:right w:type="dxa" w:w="120"/>
            </w:tcMar>
          </w:tcPr>
          <w:p>
            <w:pPr>
              <w:spacing w:before="40" w:after="40"/>
            </w:pPr>
            <w:r>
              <w:rPr>
                <w:b/>
                <w:bCs/>
                <w:sz w:val="22"/>
                <w:szCs w:val="22"/>
              </w:rPr>
              <w:t xml:space="preserve">Request:  </w:t>
            </w:r>
            <w:r>
              <w:rPr>
                <w:sz w:val="22"/>
                <w:szCs w:val="22"/>
              </w:rPr>
              <w:t xml:space="preserve">POST /analyze
Content-Type: application/json
{
  "start_time": "2026-02-24T18:00:00Z",
  "end_time": "2026-02-24T21:30:00Z",
  "services": ["product-api", "order-api", "postgres"],
  "priority": "high"
}</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5F5F5" w:val="clear"/>
            <w:tcMar>
              <w:top w:type="dxa" w:w="100"/>
              <w:left w:type="dxa" w:w="180"/>
              <w:bottom w:type="dxa" w:w="100"/>
              <w:right w:type="dxa" w:w="120"/>
            </w:tcMar>
          </w:tcPr>
          <w:p>
            <w:pPr>
              <w:spacing w:before="40" w:after="40"/>
            </w:pPr>
            <w:r>
              <w:rPr>
                <w:b/>
                <w:bCs/>
                <w:sz w:val="22"/>
                <w:szCs w:val="22"/>
              </w:rPr>
              <w:t xml:space="preserve">Response (202 Accepted):  </w:t>
            </w:r>
            <w:r>
              <w:rPr>
                <w:sz w:val="22"/>
                <w:szCs w:val="22"/>
              </w:rPr>
              <w:t xml:space="preserve">{
  "incident_id": "INC-20260224-001",
  "status": "processing",
  "estimated_completion_seconds": 180,
  "poll_url": "/report/INC-20260224-001"
}</w:t>
            </w:r>
          </w:p>
        </w:tc>
      </w:tr>
    </w:tbl>
    <w:p>
      <w:pPr>
        <w:spacing w:before="80" w:after="80"/>
      </w:pPr>
      <w:r>
        <w:t xml:space="preserve"/>
      </w:r>
    </w:p>
    <w:p>
      <w:pPr>
        <w:pStyle w:val="Heading3"/>
        <w:spacing w:before="200" w:after="80"/>
      </w:pPr>
      <w:r>
        <w:rPr>
          <w:b/>
          <w:bCs/>
          <w:color w:val="2F5496"/>
          <w:sz w:val="24"/>
          <w:szCs w:val="24"/>
        </w:rPr>
        <w:t xml:space="preserve">GET /report/{incident_id} — Retrieve RCA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5F5F5" w:val="clear"/>
            <w:tcMar>
              <w:top w:type="dxa" w:w="100"/>
              <w:left w:type="dxa" w:w="180"/>
              <w:bottom w:type="dxa" w:w="100"/>
              <w:right w:type="dxa" w:w="120"/>
            </w:tcMar>
          </w:tcPr>
          <w:p>
            <w:pPr>
              <w:spacing w:before="40" w:after="40"/>
            </w:pPr>
            <w:r>
              <w:rPr>
                <w:b/>
                <w:bCs/>
                <w:sz w:val="22"/>
                <w:szCs w:val="22"/>
              </w:rPr>
              <w:t xml:space="preserve">Response (200 OK):  </w:t>
            </w:r>
            <w:r>
              <w:rPr>
                <w:sz w:val="22"/>
                <w:szCs w:val="22"/>
              </w:rPr>
              <w:t xml:space="preserve">{
  "incident_id": "INC-20260224-001",
  "status": "complete",
  "detected_at": "2026-02-24T21:05:00Z",
  "anomalous_metrics": [
    {"name": "db_query_latency_p95", "score": 0.91, "first_seen": "2026-02-24T18:30:00Z"},
    {"name": "api_latency_p95", "score": 0.96, "first_seen": "2026-02-24T21:00:00Z"}
  ],
  "causal_chain": [
    {"from": "db_migration_event", "to": "db_query_latency", "p_value": 0.002, "lag_minutes": 30},
    {"from": "db_query_latency", "to": "db_connections_active", "p_value": 0.001, "lag_minutes": 120}
  ],
  "ranked_causes": [
    {"cause": "db_migration_applied_14:00", "confidence": 0.87, "type": "deployment_event"},
    {"cause": "connection_pool_size_insufficient", "confidence": 0.23, "type": "configuration"}
  ],
  "narrative": "A database schema migration deployed at 14:00 caused PostgreSQL to use an inefficient index..."
}</w:t>
            </w:r>
          </w:p>
        </w:tc>
      </w:tr>
    </w:tbl>
    <w:p>
      <w:pPr>
        <w:spacing w:before="80" w:after="80"/>
      </w:pPr>
      <w:r>
        <w:t xml:space="preserve"/>
      </w:r>
    </w:p>
    <w:p>
      <w:pPr>
        <w:pStyle w:val="Heading2"/>
        <w:spacing w:before="280" w:after="120"/>
      </w:pPr>
      <w:r>
        <w:rPr>
          <w:b/>
          <w:bCs/>
          <w:color w:val="2E75B6"/>
          <w:sz w:val="28"/>
          <w:szCs w:val="28"/>
        </w:rPr>
        <w:t xml:space="preserve">10.2 Example Data Schema &amp; Sample Records</w:t>
      </w:r>
    </w:p>
    <w:p>
      <w:pPr>
        <w:pStyle w:val="Heading3"/>
        <w:spacing w:before="200" w:after="80"/>
      </w:pPr>
      <w:r>
        <w:rPr>
          <w:b/>
          <w:bCs/>
          <w:color w:val="2F5496"/>
          <w:sz w:val="24"/>
          <w:szCs w:val="24"/>
        </w:rPr>
        <w:t xml:space="preserve">Metric Record (TimescaleDB)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5F5F5" w:val="clear"/>
            <w:tcMar>
              <w:top w:type="dxa" w:w="100"/>
              <w:left w:type="dxa" w:w="180"/>
              <w:bottom w:type="dxa" w:w="100"/>
              <w:right w:type="dxa" w:w="120"/>
            </w:tcMar>
          </w:tcPr>
          <w:p>
            <w:pPr>
              <w:spacing w:before="40" w:after="40"/>
            </w:pPr>
            <w:r>
              <w:rPr>
                <w:b/>
                <w:bCs/>
                <w:sz w:val="22"/>
                <w:szCs w:val="22"/>
              </w:rPr>
              <w:t xml:space="preserve">SQL Schema:  </w:t>
            </w:r>
            <w:r>
              <w:rPr>
                <w:sz w:val="22"/>
                <w:szCs w:val="22"/>
              </w:rPr>
              <w:t xml:space="preserve">CREATE TABLE metrics (
  time        TIMESTAMPTZ NOT NULL,
  host        TEXT NOT NULL,
  service     TEXT NOT NULL,
  metric_name TEXT NOT NULL,
  value       DOUBLE PRECISION,
  unit        TEXT
);
SELECT create_hypertable('metrics', 'time');</w:t>
            </w:r>
          </w:p>
        </w:tc>
      </w:tr>
    </w:tbl>
    <w:p>
      <w:pPr>
        <w:spacing w:before="80" w:after="80"/>
      </w:pPr>
      <w:r>
        <w:t xml:space="preserve"/>
      </w:r>
    </w:p>
    <w:p>
      <w:pPr>
        <w:pStyle w:val="Heading3"/>
        <w:spacing w:before="200" w:after="80"/>
      </w:pPr>
      <w:r>
        <w:rPr>
          <w:b/>
          <w:bCs/>
          <w:color w:val="2F5496"/>
          <w:sz w:val="24"/>
          <w:szCs w:val="24"/>
        </w:rPr>
        <w:t xml:space="preserve">Sample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2400"/>
        <w:gridCol w:w="800"/>
        <w:gridCol w:w="5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time</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host</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service</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metric_name</w:t>
            </w:r>
          </w:p>
        </w:tc>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value</w:t>
            </w:r>
          </w:p>
        </w:tc>
        <w:tc>
          <w:tcPr>
            <w:tcW w:type="dxa" w:w="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unit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2026-02-24 18:30:00+00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db-01.prod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postgres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db_query_latency_p95</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487.2</w:t>
            </w:r>
          </w:p>
        </w:tc>
        <w:tc>
          <w:tcPr>
            <w:tcW w:type="dxa" w:w="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ms</w:t>
            </w:r>
          </w:p>
        </w:tc>
      </w:tr>
      <w:tr>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2026-02-24 18:30:00+00</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api-01.prod</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product-api</w:t>
            </w:r>
          </w:p>
        </w:tc>
        <w:tc>
          <w:tcPr>
            <w:tcW w:type="dxa" w:w="24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api_latency_p95</w:t>
            </w:r>
          </w:p>
        </w:tc>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193.4</w:t>
            </w:r>
          </w:p>
        </w:tc>
        <w:tc>
          <w:tcPr>
            <w:tcW w:type="dxa" w:w="5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ms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2026-02-24 18:31:00+00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db-01.prod</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postgres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db_connections_active</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67.0</w:t>
            </w:r>
          </w:p>
        </w:tc>
        <w:tc>
          <w:tcPr>
            <w:tcW w:type="dxa" w:w="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count</w:t>
            </w:r>
          </w:p>
        </w:tc>
      </w:tr>
    </w:tbl>
    <w:p>
      <w:pPr>
        <w:spacing w:before="80" w:after="80"/>
      </w:pPr>
      <w:r>
        <w:t xml:space="preserve"/>
      </w:r>
    </w:p>
    <w:p>
      <w:pPr>
        <w:pStyle w:val="Heading2"/>
        <w:spacing w:before="280" w:after="120"/>
      </w:pPr>
      <w:r>
        <w:rPr>
          <w:b/>
          <w:bCs/>
          <w:color w:val="2E75B6"/>
          <w:sz w:val="28"/>
          <w:szCs w:val="28"/>
        </w:rPr>
        <w:t xml:space="preserve">10.3 Experiment Table Template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000"/>
        <w:gridCol w:w="1600"/>
        <w:gridCol w:w="1000"/>
        <w:gridCol w:w="800"/>
        <w:gridCol w:w="800"/>
        <w:gridCol w:w="1300"/>
        <w:gridCol w:w="460"/>
      </w:tblGrid>
      <w:tr>
        <w:trPr>
          <w:tblHeader/>
        </w:trPr>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Run ID</w:t>
            </w:r>
          </w:p>
        </w:tc>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Hypothesis</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Model</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Key Hyperparams</w:t>
            </w:r>
          </w:p>
        </w:tc>
        <w:tc>
          <w:tcPr>
            <w:tcW w:type="dxa" w:w="1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Anomaly F1</w:t>
            </w:r>
          </w:p>
        </w:tc>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Top-1 Acc</w:t>
            </w:r>
          </w:p>
        </w:tc>
        <w:tc>
          <w:tcPr>
            <w:tcW w:type="dxa" w:w="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Top-3 Acc</w:t>
            </w:r>
          </w:p>
        </w:tc>
        <w:tc>
          <w:tcPr>
            <w:tcW w:type="dxa" w:w="13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Detection Latency</w:t>
            </w:r>
          </w:p>
        </w:tc>
        <w:tc>
          <w:tcPr>
            <w:tcW w:type="dxa" w:w="4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sz w:val="20"/>
                <w:szCs w:val="20"/>
              </w:rPr>
              <w:t xml:space="preserve">Notes</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EXP-001</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LSTM baseline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LSTM AE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layers=2, hidden=128, lr=1e-3</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0.78</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0.61</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0.82</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4.2 min</w:t>
            </w:r>
          </w:p>
        </w:tc>
        <w:tc>
          <w:tcPr>
            <w:tcW w:type="dxa" w:w="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Threshold=99th pct</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EXP-002</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Larger LSTM</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LSTM AE</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layers=3, hidden=256, lr=1e-3</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0.81</w:t>
            </w:r>
          </w:p>
        </w:tc>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0.64</w:t>
            </w:r>
          </w:p>
        </w:tc>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0.85</w:t>
            </w:r>
          </w:p>
        </w:tc>
        <w:tc>
          <w:tcPr>
            <w:tcW w:type="dxa" w:w="1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4.5 min</w:t>
            </w:r>
          </w:p>
        </w:tc>
        <w:tc>
          <w:tcPr>
            <w:tcW w:type="dxa" w:w="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Overfits with &lt;30d data</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EXP-003</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Isolation Forest baseline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IForest</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n_estimators=100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0.70</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0.48</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0.71</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2.1 min</w:t>
            </w:r>
          </w:p>
        </w:tc>
        <w:tc>
          <w:tcPr>
            <w:tcW w:type="dxa" w:w="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Baseline comparison</w:t>
            </w:r>
          </w:p>
        </w:tc>
      </w:tr>
      <w:tr>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EXP-004</w:t>
            </w:r>
          </w:p>
        </w:tc>
        <w:tc>
          <w:tcPr>
            <w:tcW w:type="dxa" w:w="15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Add PageRank ranker</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LSTM + PR</w:t>
            </w:r>
          </w:p>
        </w:tc>
        <w:tc>
          <w:tcPr>
            <w:tcW w:type="dxa" w:w="16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damping=0.85, top_k=5</w:t>
            </w:r>
          </w:p>
        </w:tc>
        <w:tc>
          <w:tcPr>
            <w:tcW w:type="dxa" w:w="10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0.81</w:t>
            </w:r>
          </w:p>
        </w:tc>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0.69</w:t>
            </w:r>
          </w:p>
        </w:tc>
        <w:tc>
          <w:tcPr>
            <w:tcW w:type="dxa" w:w="8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0.88</w:t>
            </w:r>
          </w:p>
        </w:tc>
        <w:tc>
          <w:tcPr>
            <w:tcW w:type="dxa" w:w="130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4.7 min</w:t>
            </w:r>
          </w:p>
        </w:tc>
        <w:tc>
          <w:tcPr>
            <w:tcW w:type="dxa" w:w="460"/>
            <w:tcBorders>
              <w:top w:val="single" w:color="BBBBBB" w:sz="1"/>
              <w:left w:val="single" w:color="BBBBBB" w:sz="1"/>
              <w:bottom w:val="single" w:color="BBBBBB" w:sz="1"/>
              <w:right w:val="single" w:color="BBBBBB" w:sz="1"/>
            </w:tcBorders>
            <w:shd w:fill="EBF3FB" w:val="clear"/>
            <w:tcMar>
              <w:top w:type="dxa" w:w="80"/>
              <w:left w:type="dxa" w:w="120"/>
              <w:bottom w:type="dxa" w:w="80"/>
              <w:right w:type="dxa" w:w="120"/>
            </w:tcMar>
          </w:tcPr>
          <w:p>
            <w:r>
              <w:rPr>
                <w:sz w:val="20"/>
                <w:szCs w:val="20"/>
              </w:rPr>
              <w:t xml:space="preserve">Best distinction result</w:t>
            </w:r>
          </w:p>
        </w:tc>
      </w:tr>
      <w:tr>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EXP-005</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No event correlation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LSTM AE (ablation)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As EXP-001 minus events</w:t>
            </w:r>
          </w:p>
        </w:tc>
        <w:tc>
          <w:tcPr>
            <w:tcW w:type="dxa" w:w="1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0.78</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0.54</w:t>
            </w:r>
          </w:p>
        </w:tc>
        <w:tc>
          <w:tcPr>
            <w:tcW w:type="dxa" w:w="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0.76</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3.9 min</w:t>
            </w:r>
          </w:p>
        </w:tc>
        <w:tc>
          <w:tcPr>
            <w:tcW w:type="dxa" w:w="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sz w:val="20"/>
                <w:szCs w:val="20"/>
              </w:rPr>
              <w:t xml:space="preserve">Confirms value of CI/CD events</w:t>
            </w:r>
          </w:p>
        </w:tc>
      </w:tr>
    </w:tbl>
    <w:p>
      <w:pPr>
        <w:spacing w:before="80" w:after="80"/>
      </w:pPr>
      <w:r>
        <w:t xml:space="preserve"/>
      </w:r>
    </w:p>
    <w:p>
      <w:pPr>
        <w:pStyle w:val="Heading2"/>
        <w:spacing w:before="280" w:after="120"/>
      </w:pPr>
      <w:r>
        <w:rPr>
          <w:b/>
          <w:bCs/>
          <w:color w:val="2E75B6"/>
          <w:sz w:val="28"/>
          <w:szCs w:val="28"/>
        </w:rPr>
        <w:t xml:space="preserve">10.4 Command-Line Snippets</w:t>
      </w:r>
    </w:p>
    <w:p>
      <w:pPr>
        <w:pStyle w:val="Heading3"/>
        <w:spacing w:before="200" w:after="80"/>
      </w:pPr>
      <w:r>
        <w:rPr>
          <w:b/>
          <w:bCs/>
          <w:color w:val="2F5496"/>
          <w:sz w:val="24"/>
          <w:szCs w:val="24"/>
        </w:rPr>
        <w:t xml:space="preserve">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5F5F5" w:val="clear"/>
            <w:tcMar>
              <w:top w:type="dxa" w:w="100"/>
              <w:left w:type="dxa" w:w="180"/>
              <w:bottom w:type="dxa" w:w="100"/>
              <w:right w:type="dxa" w:w="120"/>
            </w:tcMar>
          </w:tcPr>
          <w:p>
            <w:pPr>
              <w:spacing w:before="40" w:after="40"/>
            </w:pPr>
            <w:r>
              <w:rPr>
                <w:b/>
                <w:bCs/>
                <w:sz w:val="22"/>
                <w:szCs w:val="22"/>
              </w:rPr>
              <w:t xml:space="preserve">  </w:t>
            </w:r>
            <w:r>
              <w:rPr>
                <w:sz w:val="22"/>
                <w:szCs w:val="22"/>
              </w:rPr>
              <w:t xml:space="preserve"># Clone repo and install deps
git clone https://github.com/yourname/rca-agent
cd rca-agent
pip install -r requirements.txt --break-system-packages
# Start infrastructure
docker-compose up -d prometheus timescaledb
# Verify Prometheus is scraping
curl http://localhost:9090/api/v1/targets</w:t>
            </w:r>
          </w:p>
        </w:tc>
      </w:tr>
    </w:tbl>
    <w:p>
      <w:pPr>
        <w:spacing w:before="80" w:after="80"/>
      </w:pPr>
      <w:r>
        <w:t xml:space="preserve"/>
      </w:r>
    </w:p>
    <w:p>
      <w:pPr>
        <w:pStyle w:val="Heading3"/>
        <w:spacing w:before="200" w:after="80"/>
      </w:pPr>
      <w:r>
        <w:rPr>
          <w:b/>
          <w:bCs/>
          <w:color w:val="2F5496"/>
          <w:sz w:val="24"/>
          <w:szCs w:val="24"/>
        </w:rPr>
        <w:t xml:space="preserve">Synthetic Data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5F5F5" w:val="clear"/>
            <w:tcMar>
              <w:top w:type="dxa" w:w="100"/>
              <w:left w:type="dxa" w:w="180"/>
              <w:bottom w:type="dxa" w:w="100"/>
              <w:right w:type="dxa" w:w="120"/>
            </w:tcMar>
          </w:tcPr>
          <w:p>
            <w:pPr>
              <w:spacing w:before="40" w:after="40"/>
            </w:pPr>
            <w:r>
              <w:rPr>
                <w:b/>
                <w:bCs/>
                <w:sz w:val="22"/>
                <w:szCs w:val="22"/>
              </w:rPr>
              <w:t xml:space="preserve">  </w:t>
            </w:r>
            <w:r>
              <w:rPr>
                <w:sz w:val="22"/>
                <w:szCs w:val="22"/>
              </w:rPr>
              <w:t xml:space="preserve">python generate_failures.py \
  --failure-types memory_leak cpu_saturation db_slow_query \
  --n-scenarios 50 \
  --output-dir data/synthetic/ \
  --duration-hours 6 \
  --healthy-days 30</w:t>
            </w:r>
          </w:p>
        </w:tc>
      </w:tr>
    </w:tbl>
    <w:p>
      <w:pPr>
        <w:spacing w:before="80" w:after="80"/>
      </w:pPr>
      <w:r>
        <w:t xml:space="preserve"/>
      </w:r>
    </w:p>
    <w:p>
      <w:pPr>
        <w:pStyle w:val="Heading3"/>
        <w:spacing w:before="200" w:after="80"/>
      </w:pPr>
      <w:r>
        <w:rPr>
          <w:b/>
          <w:bCs/>
          <w:color w:val="2F5496"/>
          <w:sz w:val="24"/>
          <w:szCs w:val="24"/>
        </w:rPr>
        <w:t xml:space="preserve">Model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5F5F5" w:val="clear"/>
            <w:tcMar>
              <w:top w:type="dxa" w:w="100"/>
              <w:left w:type="dxa" w:w="180"/>
              <w:bottom w:type="dxa" w:w="100"/>
              <w:right w:type="dxa" w:w="120"/>
            </w:tcMar>
          </w:tcPr>
          <w:p>
            <w:pPr>
              <w:spacing w:before="40" w:after="40"/>
            </w:pPr>
            <w:r>
              <w:rPr>
                <w:b/>
                <w:bCs/>
                <w:sz w:val="22"/>
                <w:szCs w:val="22"/>
              </w:rPr>
              <w:t xml:space="preserve">  </w:t>
            </w:r>
            <w:r>
              <w:rPr>
                <w:sz w:val="22"/>
                <w:szCs w:val="22"/>
              </w:rPr>
              <w:t xml:space="preserve">python train.py \
  --data-path data/synthetic/healthy_windows.h5 \
  --hidden-dim 128 \
  --num-layers 2 \
  --lr 1e-3 \
  --epochs 100 \
  --early-stopping-patience 10 \
  --experiment-name lstm_baseline \
  --mlflow-tracking-uri http://localhost:5000</w:t>
            </w:r>
          </w:p>
        </w:tc>
      </w:tr>
    </w:tbl>
    <w:p>
      <w:pPr>
        <w:spacing w:before="80" w:after="80"/>
      </w:pPr>
      <w:r>
        <w:t xml:space="preserve"/>
      </w:r>
    </w:p>
    <w:p>
      <w:pPr>
        <w:pStyle w:val="Heading3"/>
        <w:spacing w:before="200" w:after="80"/>
      </w:pPr>
      <w:r>
        <w:rPr>
          <w:b/>
          <w:bCs/>
          <w:color w:val="2F5496"/>
          <w:sz w:val="24"/>
          <w:szCs w:val="24"/>
        </w:rPr>
        <w:t xml:space="preserve">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5F5F5" w:val="clear"/>
            <w:tcMar>
              <w:top w:type="dxa" w:w="100"/>
              <w:left w:type="dxa" w:w="180"/>
              <w:bottom w:type="dxa" w:w="100"/>
              <w:right w:type="dxa" w:w="120"/>
            </w:tcMar>
          </w:tcPr>
          <w:p>
            <w:pPr>
              <w:spacing w:before="40" w:after="40"/>
            </w:pPr>
            <w:r>
              <w:rPr>
                <w:b/>
                <w:bCs/>
                <w:sz w:val="22"/>
                <w:szCs w:val="22"/>
              </w:rPr>
              <w:t xml:space="preserve">  </w:t>
            </w:r>
            <w:r>
              <w:rPr>
                <w:sz w:val="22"/>
                <w:szCs w:val="22"/>
              </w:rPr>
              <w:t xml:space="preserve">python evaluate.py \
  --model-path mlruns/1/artifacts/model.pt \
  --test-data data/synthetic/failures_test.h5 \
  --labels data/synthetic/labels_test.jsonl \
  --report-path results/eval_report.json \
  --baseline isolation_forest</w:t>
            </w:r>
          </w:p>
        </w:tc>
      </w:tr>
    </w:tbl>
    <w:p>
      <w:pPr>
        <w:spacing w:before="80" w:after="80"/>
      </w:pPr>
      <w:r>
        <w:t xml:space="preserve"/>
      </w:r>
    </w:p>
    <w:p>
      <w:pPr>
        <w:pStyle w:val="Heading3"/>
        <w:spacing w:before="200" w:after="80"/>
      </w:pPr>
      <w:r>
        <w:rPr>
          <w:b/>
          <w:bCs/>
          <w:color w:val="2F5496"/>
          <w:sz w:val="24"/>
          <w:szCs w:val="24"/>
        </w:rPr>
        <w:t xml:space="preserve">Run Full RCA Analysis via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2"/>
              <w:bottom w:val="single" w:color="CCCCCC" w:sz="1"/>
              <w:right w:val="single" w:color="CCCCCC" w:sz="1"/>
            </w:tcBorders>
            <w:shd w:fill="F5F5F5" w:val="clear"/>
            <w:tcMar>
              <w:top w:type="dxa" w:w="100"/>
              <w:left w:type="dxa" w:w="180"/>
              <w:bottom w:type="dxa" w:w="100"/>
              <w:right w:type="dxa" w:w="120"/>
            </w:tcMar>
          </w:tcPr>
          <w:p>
            <w:pPr>
              <w:spacing w:before="40" w:after="40"/>
            </w:pPr>
            <w:r>
              <w:rPr>
                <w:b/>
                <w:bCs/>
                <w:sz w:val="22"/>
                <w:szCs w:val="22"/>
              </w:rPr>
              <w:t xml:space="preserve">  </w:t>
            </w:r>
            <w:r>
              <w:rPr>
                <w:sz w:val="22"/>
                <w:szCs w:val="22"/>
              </w:rPr>
              <w:t xml:space="preserve"># Start API server
uvicorn app.main:app --host 0.0.0.0 --port 8000
# Trigger analysis
curl -X POST http://localhost:8000/analyze \
  -H "Content-Type: application/json" \
  -d '{"start_time":"2026-02-24T18:00:00Z","end_time":"2026-02-24T21:30:00Z","services":["product-api","postgres"]}'
# Poll for result
curl http://localhost:8000/report/INC-20260224-001</w:t>
            </w:r>
          </w:p>
        </w:tc>
      </w:tr>
    </w:tbl>
    <w:p>
      <w:pPr>
        <w:spacing w:before="80" w:after="80"/>
      </w:pPr>
      <w:r>
        <w:t xml:space="preserve"/>
      </w:r>
    </w:p>
    <w:p>
      <w:pPr>
        <w:pStyle w:val="Heading2"/>
        <w:spacing w:before="280" w:after="120"/>
      </w:pPr>
      <w:r>
        <w:rPr>
          <w:b/>
          <w:bCs/>
          <w:color w:val="2E75B6"/>
          <w:sz w:val="28"/>
          <w:szCs w:val="28"/>
        </w:rPr>
        <w:t xml:space="preserve">Assumptions Made in This Plan</w:t>
      </w:r>
    </w:p>
    <w:p>
      <w:pPr>
        <w:pStyle w:val="ListParagraph"/>
        <w:numPr>
          <w:ilvl w:val="0"/>
          <w:numId w:val="2"/>
        </w:numPr>
        <w:spacing w:before="40" w:after="40"/>
      </w:pPr>
      <w:r>
        <w:rPr>
          <w:sz w:val="22"/>
          <w:szCs w:val="22"/>
        </w:rPr>
        <w:t xml:space="preserve">The primary deployment context is a cloud-native microservices architecture (not aviation or manufacturing). Architecture is optimised for this context using KHBN/Granger over OOBN.</w:t>
      </w:r>
    </w:p>
    <w:p>
      <w:pPr>
        <w:pStyle w:val="ListParagraph"/>
        <w:numPr>
          <w:ilvl w:val="0"/>
          <w:numId w:val="2"/>
        </w:numPr>
        <w:spacing w:before="40" w:after="40"/>
      </w:pPr>
      <w:r>
        <w:rPr>
          <w:sz w:val="22"/>
          <w:szCs w:val="22"/>
        </w:rPr>
        <w:t xml:space="preserve">Python 3.10+ and Docker are available on the development machine. All tool suggestions assume Linux or macOS.</w:t>
      </w:r>
    </w:p>
    <w:p>
      <w:pPr>
        <w:pStyle w:val="ListParagraph"/>
        <w:numPr>
          <w:ilvl w:val="0"/>
          <w:numId w:val="2"/>
        </w:numPr>
        <w:spacing w:before="40" w:after="40"/>
      </w:pPr>
      <w:r>
        <w:rPr>
          <w:sz w:val="22"/>
          <w:szCs w:val="22"/>
        </w:rPr>
        <w:t xml:space="preserve">'Real' Prometheus integration is a stretch goal; the MVP works on synthetic + public benchmark data.</w:t>
      </w:r>
    </w:p>
    <w:p>
      <w:pPr>
        <w:pStyle w:val="ListParagraph"/>
        <w:numPr>
          <w:ilvl w:val="0"/>
          <w:numId w:val="2"/>
        </w:numPr>
        <w:spacing w:before="40" w:after="40"/>
      </w:pPr>
      <w:r>
        <w:rPr>
          <w:sz w:val="22"/>
          <w:szCs w:val="22"/>
        </w:rPr>
        <w:t xml:space="preserve">Team size is 1–2 students; the 24-week timeline assumes a solo student at 20–25 hrs/week.</w:t>
      </w:r>
    </w:p>
    <w:p>
      <w:pPr>
        <w:pStyle w:val="ListParagraph"/>
        <w:numPr>
          <w:ilvl w:val="0"/>
          <w:numId w:val="2"/>
        </w:numPr>
        <w:spacing w:before="40" w:after="40"/>
      </w:pPr>
      <w:r>
        <w:rPr>
          <w:sz w:val="22"/>
          <w:szCs w:val="22"/>
        </w:rPr>
        <w:t xml:space="preserve">GPU compute is available via Google Colab free tier; LSTM model size is constrained accordingly.</w:t>
      </w:r>
    </w:p>
    <w:p>
      <w:pPr>
        <w:pStyle w:val="ListParagraph"/>
        <w:numPr>
          <w:ilvl w:val="0"/>
          <w:numId w:val="2"/>
        </w:numPr>
        <w:spacing w:before="40" w:after="40"/>
      </w:pPr>
      <w:r>
        <w:rPr>
          <w:sz w:val="22"/>
          <w:szCs w:val="22"/>
        </w:rPr>
        <w:t xml:space="preserve">The distinction-level target (KHBN + PageRank + log integration) requires approximately 30 additional hours of implementation beyond the MVP.</w:t>
      </w:r>
    </w:p>
    <w:p>
      <w:pPr>
        <w:spacing w:before="80" w:after="8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20"/>
    </w:pPr>
    <w:r>
      <w:rPr>
        <w:color w:val="888888"/>
        <w:sz w:val="18"/>
        <w:szCs w:val="18"/>
      </w:rPr>
      <w:t xml:space="preserve">AI-Powered Automated RCA System  —  Comprehensive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Calibri" w:cs="Calibri" w:eastAsia="Calibri" w:hAnsi="Calibri"/>
      <w:b/>
      <w:bCs/>
      <w:sz w:val="36"/>
      <w:szCs w:val="36"/>
    </w:rPr>
  </w:style>
  <w:style w:type="paragraph" w:styleId="Heading2">
    <w:name w:val="Heading 2"/>
    <w:basedOn w:val="Normal"/>
    <w:next w:val="Normal"/>
    <w:qFormat/>
    <w:pPr>
      <w:spacing w:before="280" w:after="120"/>
      <w:outlineLvl w:val="1"/>
    </w:pPr>
    <w:rPr>
      <w:rFonts w:ascii="Calibri" w:cs="Calibri" w:eastAsia="Calibri" w:hAnsi="Calibri"/>
      <w:b/>
      <w:bCs/>
      <w:sz w:val="28"/>
      <w:szCs w:val="28"/>
    </w:rPr>
  </w:style>
  <w:style w:type="paragraph" w:styleId="Heading3">
    <w:name w:val="Heading 3"/>
    <w:basedOn w:val="Normal"/>
    <w:next w:val="Normal"/>
    <w:qFormat/>
    <w:pPr>
      <w:spacing w:before="200" w:after="8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2026-02-23T19:03:05.191Z</dcterms:created>
  <dcterms:modified xsi:type="dcterms:W3CDTF">2026-02-23T19:03:05.192Z</dcterms:modified>
</cp:coreProperties>
</file>

<file path=docProps/custom.xml><?xml version="1.0" encoding="utf-8"?>
<Properties xmlns="http://schemas.openxmlformats.org/officeDocument/2006/custom-properties" xmlns:vt="http://schemas.openxmlformats.org/officeDocument/2006/docPropsVTypes"/>
</file>