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1474edd-a4a2-426c-b2c1-807d6420f2b2"/>
    <w:bookmarkStart w:id="20" w:name="exit-ticket-answers"/>
    <w:p>
      <w:pPr>
        <w:pStyle w:val="Heading1"/>
      </w:pPr>
      <w:r>
        <w:t xml:space="preserve">Exit Ticket Answers</w:t>
      </w:r>
    </w:p>
    <w:p>
      <w:pPr>
        <w:pStyle w:val="FirstParagraph"/>
      </w:pPr>
      <w:r>
        <w:t xml:space="preserve">What are the hallmarks of good exit ticket answers?</w:t>
      </w:r>
    </w:p>
    <w:bookmarkEnd w:id="20"/>
    <w:bookmarkEnd w:id="21"/>
    <w:bookmarkStart w:id="22" w:name="X794cad4f04ce1235af50e48766999a7f3e63c3c"/>
    <w:p>
      <w:pPr>
        <w:pStyle w:val="BodyText"/>
      </w:pPr>
      <w:r>
        <w:t xml:space="preserve">Characterize the features of good exit ticket answers</w:t>
      </w:r>
    </w:p>
    <w:p>
      <w:pPr>
        <w:pStyle w:val="BodyText"/>
      </w:pPr>
      <w:r>
        <w:t xml:space="preserve">ChatGPT (Medium):</w:t>
      </w:r>
    </w:p>
    <w:p>
      <w:pPr>
        <w:pStyle w:val="BodyText"/>
      </w:pPr>
      <w:r>
        <w:t xml:space="preserve">Good exit ticket answers should be</w:t>
      </w:r>
      <w:r>
        <w:t xml:space="preserve"> </w:t>
      </w:r>
      <w:r>
        <w:rPr>
          <w:b/>
          <w:bCs/>
        </w:rPr>
        <w:t xml:space="preserve">short, diagnostic, and explanatory</w:t>
      </w:r>
      <w:r>
        <w:t xml:space="preserve">. The goal is not to see whether students can reproduce lecture notes; it is to see whether they understand the key idea well enough to express it correctly with minimal prompting.</w:t>
      </w:r>
    </w:p>
    <w:p>
      <w:pPr>
        <w:pStyle w:val="BodyText"/>
      </w:pPr>
      <w:r>
        <w:t xml:space="preserve">A strong exit-ticket answer usually has these features: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Correct conclusion.</w:t>
      </w:r>
      <w:r>
        <w:t xml:space="preserve"> </w:t>
      </w:r>
      <w:r>
        <w:t xml:space="preserve">The answer reaches the right result: stable/unstable, aliases to 3 kHz, DTFT exists/does not exist, zero creates a notch, etc.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essential reason.</w:t>
      </w:r>
      <w:r>
        <w:t xml:space="preserve"> </w:t>
      </w:r>
      <w:r>
        <w:t xml:space="preserve">Students should give the key reasoning, not just the final word. For example, “Stable because the unit circle lies in the ROC” is much more informative than simply “stable.”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Uses the right concept or vocabulary.</w:t>
      </w:r>
      <w:r>
        <w:t xml:space="preserve"> </w:t>
      </w:r>
      <w:r>
        <w:t xml:space="preserve">Terms such as ROC, unit circle, pole, zero, aliasing, sinc, quantization, and causality should be used accurately.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Shows the relevant connection.</w:t>
      </w:r>
      <w:r>
        <w:t xml:space="preserve"> </w:t>
      </w:r>
      <w:r>
        <w:t xml:space="preserve">Good answers connect two ideas: “causal ⇒ exterior ROC,” “zero on unit circle ⇒ numerator becomes zero,” or “adding one bit halves (\Delta) ⇒ about 6 dB SQNR improvement.”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Avoids irrelevant detail.</w:t>
      </w:r>
      <w:r>
        <w:t xml:space="preserve"> </w:t>
      </w:r>
      <w:r>
        <w:t xml:space="preserve">An exit ticket should not require a full derivation unless derivation itself is the learning objective. Usually one equation plus one sentence is enough.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Makes the reasoning visible.</w:t>
      </w:r>
      <w:r>
        <w:t xml:space="preserve"> </w:t>
      </w:r>
      <w:r>
        <w:t xml:space="preserve">You want enough evidence to distinguish understanding from guessing.</w:t>
      </w:r>
    </w:p>
    <w:p>
      <w:pPr>
        <w:pStyle w:val="FirstParagraph"/>
      </w:pPr>
      <w:r>
        <w:t xml:space="preserve">For your DSP lectures, I would think of answers in roughly three quality levels:</w:t>
      </w:r>
    </w:p>
    <w:p>
      <w:pPr>
        <w:pStyle w:val="BodyText"/>
      </w:pPr>
      <w:r>
        <w:rPr>
          <w:b/>
          <w:bCs/>
        </w:rPr>
        <w:t xml:space="preserve">Weak answer:</w:t>
      </w:r>
      <w:r>
        <w:t xml:space="preserve"> </w:t>
      </w:r>
      <w:r>
        <w:t xml:space="preserve">“Stable.”</w:t>
      </w:r>
    </w:p>
    <w:p>
      <w:pPr>
        <w:pStyle w:val="BodyText"/>
      </w:pPr>
      <w:r>
        <w:rPr>
          <w:b/>
          <w:bCs/>
        </w:rPr>
        <w:t xml:space="preserve">Acceptable answer:</w:t>
      </w:r>
      <w:r>
        <w:t xml:space="preserve"> </w:t>
      </w:r>
      <w:r>
        <w:t xml:space="preserve">“Stable because all the poles are inside the unit circle.”</w:t>
      </w:r>
    </w:p>
    <w:p>
      <w:pPr>
        <w:pStyle w:val="BodyText"/>
      </w:pPr>
      <w:r>
        <w:rPr>
          <w:b/>
          <w:bCs/>
        </w:rPr>
        <w:t xml:space="preserve">Strong answer:</w:t>
      </w:r>
      <w:r>
        <w:t xml:space="preserve"> </w:t>
      </w:r>
      <w:r>
        <w:t xml:space="preserve">“For a causal rational system, the ROC is outside the outermost pole. Since all poles are inside (|z|=1), the ROC includes the unit circle, so the system is BIBO stable.”</w:t>
      </w:r>
    </w:p>
    <w:p>
      <w:pPr>
        <w:pStyle w:val="BodyText"/>
      </w:pPr>
      <w:r>
        <w:t xml:space="preserve">The strong answer is better because it exposes the reasoning chain rather than only recalling a shortcut.</w:t>
      </w:r>
    </w:p>
    <w:p>
      <w:pPr>
        <w:pStyle w:val="BodyText"/>
      </w:pPr>
      <w:r>
        <w:t xml:space="preserve">Likewise, for a pole-zero question:</w:t>
      </w:r>
    </w:p>
    <w:p>
      <w:pPr>
        <w:pStyle w:val="BodyText"/>
      </w:pPr>
      <w:r>
        <w:rPr>
          <w:b/>
          <w:bCs/>
        </w:rPr>
        <w:t xml:space="preserve">Weak:</w:t>
      </w:r>
      <w:r>
        <w:t xml:space="preserve"> </w:t>
      </w:r>
      <w:r>
        <w:t xml:space="preserve">“A zero causes a notch.”</w:t>
      </w:r>
    </w:p>
    <w:p>
      <w:pPr>
        <w:pStyle w:val="BodyText"/>
      </w:pPr>
      <w:r>
        <w:rPr>
          <w:b/>
          <w:bCs/>
        </w:rPr>
        <w:t xml:space="preserve">Acceptable:</w:t>
      </w:r>
      <w:r>
        <w:t xml:space="preserve"> </w:t>
      </w:r>
      <w:r>
        <w:t xml:space="preserve">“A zero on the unit circle makes the response zero at that frequency.”</w:t>
      </w:r>
    </w:p>
    <w:p>
      <w:pPr>
        <w:pStyle w:val="BodyText"/>
      </w:pPr>
      <w:r>
        <w:rPr>
          <w:b/>
          <w:bCs/>
        </w:rPr>
        <w:t xml:space="preserve">Strong:</w:t>
      </w:r>
      <w:r>
        <w:t xml:space="preserve"> </w:t>
      </w:r>
      <w:r>
        <w:t xml:space="preserve">“When (e^{j\omega}) reaches the angle of a zero on the unit circle, the distance to that zero is zero, so the numerator of (H(e^{j\omega})) becomes zero and a notch occurs.”</w:t>
      </w:r>
    </w:p>
    <w:p>
      <w:pPr>
        <w:pStyle w:val="BodyText"/>
      </w:pPr>
      <w:r>
        <w:t xml:space="preserve">For a numerical exit ticket:</w:t>
      </w:r>
    </w:p>
    <w:p>
      <w:pPr>
        <w:pStyle w:val="BodyText"/>
      </w:pPr>
      <w:r>
        <w:rPr>
          <w:b/>
          <w:bCs/>
        </w:rPr>
        <w:t xml:space="preserve">Weak:</w:t>
      </w:r>
      <w:r>
        <w:t xml:space="preserve"> </w:t>
      </w:r>
      <w:r>
        <w:t xml:space="preserve">“3 kHz.”</w:t>
      </w:r>
    </w:p>
    <w:p>
      <w:pPr>
        <w:pStyle w:val="BodyText"/>
      </w:pPr>
      <w:r>
        <w:rPr>
          <w:b/>
          <w:bCs/>
        </w:rPr>
        <w:t xml:space="preserve">Acceptable:</w:t>
      </w:r>
      <w:r>
        <w:t xml:space="preserve"> </w:t>
      </w:r>
      <w:r>
        <w:t xml:space="preserve">“3 kHz because 9 kHz aliases when sampled at 12 kHz.”</w:t>
      </w:r>
    </w:p>
    <w:p>
      <w:pPr>
        <w:pStyle w:val="BodyText"/>
      </w:pPr>
      <w:r>
        <w:rPr>
          <w:b/>
          <w:bCs/>
        </w:rPr>
        <w:t xml:space="preserve">Strong:</w:t>
      </w:r>
      <w:r>
        <w:t xml:space="preserve"> </w:t>
      </w:r>
      <w:r>
        <w:t xml:space="preserve">“The Nyquist frequency is 6 kHz, so 9 kHz folds about 6 kHz to (12-9=3) kHz.”</w:t>
      </w:r>
    </w:p>
    <w:p>
      <w:pPr>
        <w:pStyle w:val="BodyText"/>
      </w:pPr>
      <w:r>
        <w:t xml:space="preserve">A useful grading principle is therefore: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good exit-ticket answer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correct result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key justification</m:t>
              </m:r>
            </m:e>
          </m:borderBox>
        </m:oMath>
      </m:oMathPara>
    </w:p>
    <w:p>
      <w:pPr>
        <w:pStyle w:val="FirstParagraph"/>
      </w:pPr>
      <w:r>
        <w:t xml:space="preserve">You generally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complete formal derivations, polished prose, or every intermediate algebraic step. In fact, if students need five minutes to write a paragraph, the question is probably doing more than an exit ticket should.</w:t>
      </w:r>
    </w:p>
    <w:p>
      <w:pPr>
        <w:pStyle w:val="BodyText"/>
      </w:pPr>
      <w:r>
        <w:t xml:space="preserve">For your lectures, I would usually define a “good answer” as something that can be written in</w:t>
      </w:r>
      <w:r>
        <w:t xml:space="preserve"> </w:t>
      </w:r>
      <w:r>
        <w:rPr>
          <w:b/>
          <w:bCs/>
        </w:rPr>
        <w:t xml:space="preserve">one to three sentences or a few lines of math</w:t>
      </w:r>
      <w:r>
        <w:t xml:space="preserve"> </w:t>
      </w:r>
      <w:r>
        <w:t xml:space="preserve">and that demonstrates the central conceptual relationship you were trying to teach.</w:t>
      </w:r>
    </w:p>
    <w:bookmarkEnd w:id="22"/>
    <w:bookmarkStart w:id="23" w:name="Xce9ec98bd8a073b8de2f1f65c44b963f48a7c72"/>
    <w:p>
      <w:pPr>
        <w:pStyle w:val="SourceCode"/>
      </w:pP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2026-08-24T22:54:53Z</dcterms:created>
  <dcterms:modified xsi:type="dcterms:W3CDTF">2026-08-24T22:54:53Z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