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0f5d24d92d76d4c9f4083c3da61f05992255bd"/>
    <w:bookmarkStart w:id="21" w:name="ecen-45632-problem-set-3-solutions"/>
    <w:p>
      <w:pPr>
        <w:pStyle w:val="Heading1"/>
      </w:pPr>
      <w:r>
        <w:t xml:space="preserve">ECEN 4/5632 Problem Set 3 Solutions</w:t>
      </w:r>
    </w:p>
    <w:bookmarkStart w:id="20" w:name="from-claudeai"/>
    <w:p>
      <w:pPr>
        <w:pStyle w:val="Heading2"/>
      </w:pPr>
      <w:r>
        <w:t xml:space="preserve">from ClaudeAI</w:t>
      </w:r>
    </w:p>
    <w:bookmarkEnd w:id="20"/>
    <w:bookmarkEnd w:id="21"/>
    <w:bookmarkEnd w:id="22"/>
    <w:bookmarkStart w:id="53" w:name="c4809abc-8ab3-4487-9018-754401732349"/>
    <w:bookmarkStart w:id="26" w:name="X9a39a27c0bbb165a25c7b4a5584552709203e4a"/>
    <w:p>
      <w:pPr>
        <w:pStyle w:val="Heading2"/>
      </w:pPr>
      <w:r>
        <w:t xml:space="preserve">1. Ideal Sinc Reconstruction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δ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+</m:t>
        </m:r>
        <m:r>
          <m:t>2</m:t>
        </m:r>
        <m:r>
          <m:t>δ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sample period</w:t>
      </w:r>
      <w:r>
        <w:t xml:space="preserve"> </w:t>
      </w:r>
      <m:oMath>
        <m:r>
          <m:t>T</m:t>
        </m:r>
      </m:oMath>
      <w:r>
        <w:t xml:space="preserve">.</w:t>
      </w:r>
    </w:p>
    <w:bookmarkStart w:id="23" w:name="a-reconstructed-signal"/>
    <w:p>
      <w:pPr>
        <w:pStyle w:val="Heading3"/>
      </w:pPr>
      <w:r>
        <w:t xml:space="preserve">a) Reconstructed signal</w:t>
      </w:r>
    </w:p>
    <w:p>
      <w:pPr>
        <w:pStyle w:val="FirstParagraph"/>
      </w:pPr>
      <w:r>
        <w:t xml:space="preserve">Ideal bandlimited reconstruction replaces each sample with a shifted, scaled sinc: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t> </m:t>
          </m:r>
          <m:r>
            <m:rPr>
              <m:nor/>
              <m:sty m:val="p"/>
            </m:rPr>
            <m:t>sinc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sinc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nor/>
              <m:sty m:val="p"/>
            </m:rPr>
            <m:t>sinc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bookmarkEnd w:id="23"/>
    <w:bookmarkStart w:id="24" w:name="b-verify-sample-values"/>
    <w:p>
      <w:pPr>
        <w:pStyle w:val="Heading3"/>
      </w:pPr>
      <w:r>
        <w:t xml:space="preserve">b) Verify sample values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(using</w:t>
      </w:r>
      <w:r>
        <w:t xml:space="preserve"> </w:t>
      </w:r>
      <m:oMath>
        <m:r>
          <m:rPr>
            <m:nor/>
            <m:sty m:val="p"/>
          </m:rPr>
          <m:t>sinc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This confirms the key sinc property:</w:t>
      </w:r>
      <w:r>
        <w:t xml:space="preserve"> </w:t>
      </w:r>
      <m:oMath>
        <m:r>
          <m:rPr>
            <m:nor/>
            <m:sty m:val="p"/>
          </m:rPr>
          <m:t>sinc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nonzero integers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rPr>
            <m:nor/>
            <m:sty m:val="p"/>
          </m:rPr>
          <m:t>sinc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so the reconstruction passes exactly through each sample.</w:t>
      </w:r>
    </w:p>
    <w:bookmarkEnd w:id="24"/>
    <w:bookmarkStart w:id="25" w:name="c-value-at-t--t2"/>
    <w:p>
      <w:pPr>
        <w:pStyle w:val="Heading3"/>
      </w:pPr>
      <w:r>
        <w:t xml:space="preserve">c) Value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2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num>
            <m:den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num>
            <m:den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1.9099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cfdbcedc98cf4cabe58cc1b43574a1b524d01a6"/>
    <w:p>
      <w:pPr>
        <w:pStyle w:val="Heading2"/>
      </w:pPr>
      <w:r>
        <w:t xml:space="preserve">2. Zero-Order Hold Frequency Response</w:t>
      </w:r>
    </w:p>
    <w:p>
      <w:pPr>
        <w:pStyle w:val="FirstParagraph"/>
      </w:pPr>
      <w:r>
        <w:t xml:space="preserve">Given:</w:t>
      </w:r>
      <w:r>
        <w:t xml:space="preserve"> </w:t>
      </w:r>
      <m:oMath>
        <m:sSub>
          <m:e>
            <m:r>
              <m:t>h</m:t>
            </m:r>
          </m:e>
          <m:sub>
            <m:r>
              <m:t>Z</m:t>
            </m:r>
            <m:r>
              <m:t>O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, a rectangular pulse of height 1 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.</w:t>
      </w:r>
    </w:p>
    <w:bookmarkStart w:id="27" w:name="a-direct-integration"/>
    <w:p>
      <w:pPr>
        <w:pStyle w:val="Heading3"/>
      </w:pPr>
      <w:r>
        <w:t xml:space="preserve">a) Direct integration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Z</m:t>
              </m:r>
              <m:r>
                <m:t>O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t</m:t>
                  </m:r>
                </m:sup>
              </m:sSup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sSubSup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t>Ω</m:t>
                          </m:r>
                          <m:r>
                            <m:t>t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t>Ω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T</m:t>
                  </m:r>
                </m:sup>
              </m:sSup>
            </m:num>
            <m:den>
              <m:r>
                <m:t>j</m:t>
              </m:r>
              <m:r>
                <m:t>Ω</m:t>
              </m:r>
            </m:den>
          </m:f>
        </m:oMath>
      </m:oMathPara>
    </w:p>
    <w:bookmarkEnd w:id="27"/>
    <w:bookmarkStart w:id="28" w:name="Xbe92bc917887e931353901cf77c5d1d4a070d30"/>
    <w:p>
      <w:pPr>
        <w:pStyle w:val="Heading3"/>
      </w:pPr>
      <w:r>
        <w:t xml:space="preserve">b) Separate into linear-phase and magnitude terms</w:t>
      </w:r>
    </w:p>
    <w:p>
      <w:pPr>
        <w:pStyle w:val="FirstParagraph"/>
      </w:pPr>
      <w:r>
        <w:t xml:space="preserve">Factor out the "half-delay" phase: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Z</m:t>
              </m:r>
              <m:r>
                <m:t>O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j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num>
            <m:den>
              <m:r>
                <m:t>Ω</m:t>
              </m:r>
            </m:den>
          </m:f>
        </m:oMath>
      </m:oMathPara>
    </w:p>
    <w:p>
      <w:pPr>
        <w:pStyle w:val="FirstParagraph"/>
      </w:pPr>
      <w:r>
        <w:t xml:space="preserve">Writing the magnitude term as a normalized sinc: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H</m:t>
                  </m:r>
                </m:e>
                <m:sub>
                  <m:r>
                    <m:t>Z</m:t>
                  </m:r>
                  <m:r>
                    <m:t>O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nor/>
                  <m:sty m:val="p"/>
                </m:rPr>
                <m:t>sinc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Ω</m:t>
                      </m:r>
                      <m:r>
                        <m:t>T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borderBox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Linear-phase term: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Ω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-- phase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, linear in</w:t>
      </w:r>
      <w:r>
        <w:t xml:space="preserve"> </w:t>
      </w:r>
      <m:oMath>
        <m:r>
          <m:t>Ω</m:t>
        </m:r>
      </m:oMath>
      <w:r>
        <w:t xml:space="preserve">, corresponding to a pure delay of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(half a sample period), the group delay of the 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Magnitude term:</w:t>
      </w:r>
      <w:r>
        <w:t xml:space="preserve"> </w:t>
      </w:r>
      <m:oMath>
        <m:r>
          <m:t>T</m:t>
        </m:r>
        <m:r>
          <m:t> </m:t>
        </m:r>
        <m:r>
          <m:rPr>
            <m:nor/>
            <m:sty m:val="p"/>
          </m:rPr>
          <m:t>sinc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-- a sinc-shaped rolloff that suppresses high frequencies (the familiar "sinc droop" of a DAC).</w:t>
      </w:r>
    </w:p>
    <w:bookmarkEnd w:id="28"/>
    <w:bookmarkStart w:id="29" w:name="c-normalized-magnitude-in-db"/>
    <w:p>
      <w:pPr>
        <w:pStyle w:val="Heading3"/>
      </w:pPr>
      <w:r>
        <w:t xml:space="preserve">c) Normalized magnitude in dB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Ω</m:t>
        </m:r>
        <m:r>
          <m:t>T</m:t>
        </m:r>
      </m:oMath>
      <w:r>
        <w:t xml:space="preserve">. Then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Z</m:t>
                </m:r>
                <m:r>
                  <m:t>O</m:t>
                </m:r>
                <m:r>
                  <m:t>H</m:t>
                </m:r>
              </m:sub>
            </m:sSub>
          </m:e>
        </m:d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nor/>
                <m:sty m:val="p"/>
              </m:rPr>
              <m:t>sinc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t>π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0.5</m:t>
        </m:r>
        <m:r>
          <m:t>π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ω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0.25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0.25</m:t>
                  </m:r>
                  <m:r>
                    <m:t>π</m:t>
                  </m:r>
                </m:e>
              </m:d>
            </m:num>
            <m:den>
              <m:r>
                <m:t>0.25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0.7071</m:t>
              </m:r>
            </m:num>
            <m:den>
              <m:r>
                <m:t>0.7854</m:t>
              </m:r>
            </m:den>
          </m:f>
          <m:r>
            <m:rPr>
              <m:sty m:val="p"/>
            </m:rPr>
            <m:t>=</m:t>
          </m:r>
          <m:r>
            <m:t>0.9003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0.9003</m:t>
              </m:r>
            </m:e>
          </m:d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0.91</m:t>
          </m:r>
          <m:r>
            <m:rPr>
              <m:nor/>
              <m:sty m:val="p"/>
            </m:rPr>
            <m:t> dB</m:t>
          </m:r>
        </m:oMath>
      </m:oMathPara>
    </w:p>
    <w:p>
      <w:pPr>
        <w:pStyle w:val="FirstParagraph"/>
      </w:pP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π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ω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=</m:t>
          </m:r>
          <m:r>
            <m:t>0.6366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0.6366</m:t>
              </m:r>
            </m:e>
          </m:d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3.92</m:t>
          </m:r>
          <m:r>
            <m:rPr>
              <m:nor/>
              <m:sty m:val="p"/>
            </m:rPr>
            <m:t> dB</m:t>
          </m:r>
        </m:oMath>
      </m:oMathPara>
    </w:p>
    <w:p>
      <w:pPr>
        <w:pStyle w:val="FirstParagraph"/>
      </w:pPr>
      <w:r>
        <w:t xml:space="preserve">(This is the well-known ZOH droop of about</w:t>
      </w:r>
      <w:r>
        <w:t xml:space="preserve"> </w:t>
      </w:r>
      <m:oMath>
        <m:r>
          <m:rPr>
            <m:sty m:val="p"/>
          </m:rPr>
          <m:t>−</m:t>
        </m:r>
        <m:r>
          <m:t>3.9</m:t>
        </m:r>
      </m:oMath>
      <w:r>
        <w:t xml:space="preserve"> </w:t>
      </w:r>
      <w:r>
        <w:t xml:space="preserve">dB at the Nyquist frequency.)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eaf9c5bcdf7788e308e79754056092d136306d5"/>
    <w:p>
      <w:pPr>
        <w:pStyle w:val="Heading2"/>
      </w:pPr>
      <w:r>
        <w:t xml:space="preserve">3. Uniform Quantization and SQNR</w:t>
      </w:r>
    </w:p>
    <w:p>
      <w:pPr>
        <w:pStyle w:val="FirstParagraph"/>
      </w:pPr>
      <w:r>
        <w:t xml:space="preserve">Range: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 to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V, full-scale span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V.</w:t>
      </w:r>
    </w:p>
    <w:bookmarkStart w:id="31" w:name="a-step-size-for-b--8"/>
    <w:p>
      <w:pPr>
        <w:pStyle w:val="Heading3"/>
      </w:pPr>
      <w:r>
        <w:t xml:space="preserve">a) Step size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256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128</m:t>
              </m:r>
            </m:den>
          </m:f>
          <m:r>
            <m:rPr>
              <m:sty m:val="p"/>
            </m:rPr>
            <m:t>=</m:t>
          </m:r>
          <m:r>
            <m:t>0.0078125</m:t>
          </m:r>
          <m:r>
            <m:rPr>
              <m:nor/>
              <m:sty m:val="p"/>
            </m:rPr>
            <m:t> V</m:t>
          </m:r>
        </m:oMath>
      </m:oMathPara>
    </w:p>
    <w:bookmarkEnd w:id="31"/>
    <w:bookmarkStart w:id="32" w:name="b-error-variance-and-rms-error"/>
    <w:p>
      <w:pPr>
        <w:pStyle w:val="Heading3"/>
      </w:pPr>
      <w:r>
        <w:t xml:space="preserve">b) Error variance and RMS error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0.0078125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5.086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sSup>
            <m:e>
              <m:r>
                <m:rPr>
                  <m:nor/>
                  <m:sty m:val="p"/>
                </m:rPr>
                <m:t> V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σ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0.002255</m:t>
          </m:r>
          <m:r>
            <m:rPr>
              <m:nor/>
              <m:sty m:val="p"/>
            </m:rPr>
            <m:t> V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≈</m:t>
              </m:r>
              <m:r>
                <m:t>2.26</m:t>
              </m:r>
              <m:r>
                <m:rPr>
                  <m:nor/>
                  <m:sty m:val="p"/>
                </m:rPr>
                <m:t> mV</m:t>
              </m:r>
            </m:e>
          </m:d>
        </m:oMath>
      </m:oMathPara>
    </w:p>
    <w:bookmarkEnd w:id="32"/>
    <w:bookmarkStart w:id="33" w:name="c-sqnr-for-8-bit-full-scale-sine"/>
    <w:p>
      <w:pPr>
        <w:pStyle w:val="Heading3"/>
      </w:pPr>
      <w:r>
        <w:t xml:space="preserve">c) SQNR for 8-bit full-scale sine</w:t>
      </w:r>
    </w:p>
    <w:p>
      <w:pPr>
        <w:pStyle w:val="FirstParagraph"/>
      </w:pPr>
      <w:r>
        <w:t xml:space="preserve">Standard result: for a full-scale sinusoid quantized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bits (uniform-error model),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SQNR(dB)</m:t>
          </m:r>
          <m:r>
            <m:rPr>
              <m:sty m:val="p"/>
            </m:rPr>
            <m:t>=</m:t>
          </m:r>
          <m:r>
            <m:t>6.02</m:t>
          </m:r>
          <m:r>
            <m:t> </m:t>
          </m:r>
          <m:r>
            <m:t>B</m:t>
          </m:r>
          <m:r>
            <m:rPr>
              <m:sty m:val="p"/>
            </m:rPr>
            <m:t>+</m:t>
          </m:r>
          <m:r>
            <m:t>1.76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SQNR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=</m:t>
          </m:r>
          <m:r>
            <m:t>6.02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</m:e>
          </m:d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=</m:t>
          </m:r>
          <m:r>
            <m:t>48.16</m:t>
          </m:r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=</m:t>
          </m:r>
          <m:r>
            <m:t>49.92</m:t>
          </m:r>
          <m:r>
            <m:rPr>
              <m:nor/>
              <m:sty m:val="p"/>
            </m:rPr>
            <m:t> dB</m:t>
          </m:r>
        </m:oMath>
      </m:oMathPara>
    </w:p>
    <w:bookmarkEnd w:id="33"/>
    <w:bookmarkStart w:id="34" w:name="d-sqnr-for-16-bit-full-scale-sine"/>
    <w:p>
      <w:pPr>
        <w:pStyle w:val="Heading3"/>
      </w:pPr>
      <w:r>
        <w:t xml:space="preserve">d) SQNR for 16-bit full-scale sine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SQNR</m:t>
              </m:r>
            </m:e>
            <m:sub>
              <m:r>
                <m:t>16</m:t>
              </m:r>
            </m:sub>
          </m:sSub>
          <m:r>
            <m:rPr>
              <m:sty m:val="p"/>
            </m:rPr>
            <m:t>=</m:t>
          </m:r>
          <m:r>
            <m:t>6.02</m:t>
          </m:r>
          <m:d>
            <m:dPr>
              <m:begChr m:val="("/>
              <m:endChr m:val=")"/>
              <m:sepChr m:val=""/>
              <m:grow/>
            </m:dPr>
            <m:e>
              <m:r>
                <m:t>16</m:t>
              </m:r>
            </m:e>
          </m:d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=</m:t>
          </m:r>
          <m:r>
            <m:t>96.32</m:t>
          </m:r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=</m:t>
          </m:r>
          <m:r>
            <m:t>98.08</m:t>
          </m:r>
          <m:r>
            <m:rPr>
              <m:nor/>
              <m:sty m:val="p"/>
            </m:rPr>
            <m:t> dB</m:t>
          </m:r>
        </m:oMath>
      </m:oMathPara>
    </w:p>
    <w:bookmarkEnd w:id="34"/>
    <w:bookmarkStart w:id="35" w:name="X95b77d7d341273577d4a57b233a09883c39214c"/>
    <w:p>
      <w:pPr>
        <w:pStyle w:val="Heading3"/>
      </w:pPr>
      <w:r>
        <w:t xml:space="preserve">e) Reconciling "96 dB" vs "98 dB" for 16-bit audio</w:t>
      </w:r>
    </w:p>
    <w:p>
      <w:pPr>
        <w:pStyle w:val="FirstParagraph"/>
      </w:pPr>
      <w:r>
        <w:t xml:space="preserve">These numbers are not contradictory because they answer</w:t>
      </w:r>
      <w:r>
        <w:t xml:space="preserve"> </w:t>
      </w:r>
      <w:r>
        <w:rPr>
          <w:b/>
          <w:bCs/>
        </w:rPr>
        <w:t xml:space="preserve">different questions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"~96 dB"</w:t>
      </w:r>
      <w:r>
        <w:t xml:space="preserve"> </w:t>
      </w:r>
      <w:r>
        <w:t xml:space="preserve">is the common rule-of-thumb figure</w:t>
      </w:r>
      <w:r>
        <w:t xml:space="preserve"> </w:t>
      </w:r>
      <m:oMath>
        <m:r>
          <m:t>6.02</m:t>
        </m:r>
        <m:r>
          <m:t> </m:t>
        </m:r>
        <m:r>
          <m:t>B</m:t>
        </m:r>
        <m:r>
          <m:rPr>
            <m:sty m:val="p"/>
          </m:rPr>
          <m:t>≈</m:t>
        </m:r>
        <m:r>
          <m:t>96.3</m:t>
        </m:r>
      </m:oMath>
      <w:r>
        <w:t xml:space="preserve"> </w:t>
      </w:r>
      <w:r>
        <w:t xml:space="preserve">dB. It represents the</w:t>
      </w:r>
      <w:r>
        <w:t xml:space="preserve"> </w:t>
      </w:r>
      <w:r>
        <w:rPr>
          <w:i/>
          <w:iCs/>
        </w:rPr>
        <w:t xml:space="preserve">dynamic range</w:t>
      </w:r>
      <w:r>
        <w:t xml:space="preserve"> </w:t>
      </w:r>
      <w:r>
        <w:t xml:space="preserve">of the quantizer in a loose sense -- essentially</w:t>
      </w:r>
      <w:r>
        <w:t xml:space="preserve"> </w:t>
      </w:r>
      <m:oMath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B</m:t>
                </m:r>
              </m:sup>
            </m:sSup>
          </m:e>
        </m:d>
      </m:oMath>
      <w:r>
        <w:t xml:space="preserve">, the ratio of the full-scale range to the quantization step, without including the</w:t>
      </w:r>
      <w:r>
        <w:t xml:space="preserve"> </w:t>
      </w:r>
      <m:oMath>
        <m:r>
          <m:rPr>
            <m:sty m:val="p"/>
          </m:rPr>
          <m:t>+</m:t>
        </m:r>
        <m:r>
          <m:t>1.76</m:t>
        </m:r>
      </m:oMath>
      <w:r>
        <w:t xml:space="preserve"> </w:t>
      </w:r>
      <w:r>
        <w:t xml:space="preserve">dB correction factor. It's often quoted as a quick "6 dB per bit" estimate and is sometimes meant as a conservative, generic dynamic-range spec rather than a precise SQNR for one specific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"~98 dB"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SQNR formula result for the specific case of a</w:t>
      </w:r>
      <w:r>
        <w:t xml:space="preserve"> </w:t>
      </w:r>
      <w:r>
        <w:rPr>
          <w:b/>
          <w:bCs/>
        </w:rPr>
        <w:t xml:space="preserve">full-scale sinusoidal</w:t>
      </w:r>
      <w:r>
        <w:t xml:space="preserve"> </w:t>
      </w:r>
      <w:r>
        <w:t xml:space="preserve">test signal, which includes the</w:t>
      </w:r>
      <w:r>
        <w:t xml:space="preserve"> </w:t>
      </w:r>
      <m:oMath>
        <m:r>
          <m:rPr>
            <m:sty m:val="p"/>
          </m:rPr>
          <m:t>+</m:t>
        </m:r>
        <m:r>
          <m:t>1.76</m:t>
        </m:r>
      </m:oMath>
      <w:r>
        <w:t xml:space="preserve"> </w:t>
      </w:r>
      <w:r>
        <w:t xml:space="preserve">dB term that comes from the ratio of a sine wave's mean-square power to its peak value (</w:t>
      </w:r>
      <m:oMath>
        <m:sSubSup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p</m:t>
            </m:r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2</m:t>
        </m:r>
      </m:oMath>
      <w:r>
        <w:t xml:space="preserve">).</w:t>
      </w:r>
    </w:p>
    <w:p>
      <w:pPr>
        <w:pStyle w:val="FirstParagraph"/>
      </w:pPr>
      <w:r>
        <w:t xml:space="preserve">So the 96 dB figure is a rounded/approximate dynamic-range statement (or omits the sine-specific correction), while 98 dB is the precise theoretical SQNR for a full-scale sine tone. Both are legitimate -- they simply correspond to slightly different definitions/assumptions (generic dynamic range vs. exact full-scale-sinusoid SQNR), and real-world 16-bit audio numbers can also be affected by dither, noise shaping, and measurement weighting, which further explains why quoted "16-bit" figures vary in the literature.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6398c2d7192b595c6145869bd697135462bbd6a"/>
    <w:p>
      <w:pPr>
        <w:pStyle w:val="Heading2"/>
      </w:pPr>
      <w:r>
        <w:t xml:space="preserve">4. Finite Sequence z-Transform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2</m:t>
        </m:r>
        <m:r>
          <m:t>δ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δ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+</m:t>
        </m:r>
        <m:r>
          <m:t>3</m:t>
        </m:r>
        <m:r>
          <m:t>δ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bookmarkStart w:id="37" w:name="z-transform"/>
    <w:p>
      <w:pPr>
        <w:pStyle w:val="Heading3"/>
      </w:pPr>
      <w:r>
        <w:t xml:space="preserve">z-Transform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t>z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</m:borderBox>
        </m:oMath>
      </m:oMathPara>
    </w:p>
    <w:bookmarkEnd w:id="37"/>
    <w:bookmarkStart w:id="38" w:name="roc"/>
    <w:p>
      <w:pPr>
        <w:pStyle w:val="Heading3"/>
      </w:pPr>
      <w:r>
        <w:t xml:space="preserve">ROC</w:t>
      </w:r>
    </w:p>
    <w:p>
      <w:pPr>
        <w:pStyle w:val="FirstParagraph"/>
      </w:pPr>
      <w:r>
        <w:t xml:space="preserve">The sequence has both a positive-time term (</w:t>
      </w:r>
      <m:oMath>
        <m:r>
          <m:t>2</m:t>
        </m:r>
        <m:sSup>
          <m:e>
            <m:r>
              <m:t>z</m:t>
            </m:r>
          </m:e>
          <m:sup>
            <m:r>
              <m:t>1</m:t>
            </m:r>
          </m:sup>
        </m:sSup>
      </m:oMath>
      <w:r>
        <w:t xml:space="preserve">, i.e. nonzero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) and negative-time-index terms extending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m:oMath>
        <m:r>
          <m:t>3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 Because there is a term</w:t>
      </w:r>
      <w:r>
        <w:t xml:space="preserve"> </w:t>
      </w:r>
      <m:oMath>
        <m:r>
          <m:t>2</m:t>
        </m:r>
        <m:r>
          <m:t>z</m:t>
        </m:r>
      </m:oMath>
      <w:r>
        <w:t xml:space="preserve"> </w:t>
      </w:r>
      <w:r>
        <w:t xml:space="preserve">that diverges as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 a term</w:t>
      </w:r>
      <w:r>
        <w:t xml:space="preserve"> </w:t>
      </w:r>
      <m:oMath>
        <m:r>
          <m:t>3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that diverges as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the ROC is the entire</w:t>
      </w:r>
      <w:r>
        <w:t xml:space="preserve"> </w:t>
      </w:r>
      <m:oMath>
        <m:r>
          <m:t>z</m:t>
        </m:r>
      </m:oMath>
      <w:r>
        <w:t xml:space="preserve">-plane except the origin and infinity: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ROC: </m:t>
          </m:r>
          <m:r>
            <m:t>0</m:t>
          </m:r>
          <m:r>
            <m:rPr>
              <m:sty m:val="p"/>
            </m:rPr>
            <m:t>&lt;</m:t>
          </m:r>
          <m:d>
            <m:dPr>
              <m:begChr m:val="|"/>
              <m:endChr m:val="|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bookmarkEnd w:id="38"/>
    <w:bookmarkStart w:id="39" w:name="does-the-dtft-exist"/>
    <w:p>
      <w:pPr>
        <w:pStyle w:val="Heading3"/>
      </w:pPr>
      <w:r>
        <w:t xml:space="preserve">Does the DTFT exist?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finite support</w:t>
      </w:r>
      <w:r>
        <w:t xml:space="preserve"> </w:t>
      </w:r>
      <w:r>
        <w:t xml:space="preserve">(only 3 nonzero samples), the sum defining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</m:oMath>
      <w:r>
        <w:t xml:space="preserve"> </w:t>
      </w:r>
      <w:r>
        <w:t xml:space="preserve">is a finite sum and converges for every</w:t>
      </w:r>
      <w:r>
        <w:t xml:space="preserve"> </w:t>
      </w:r>
      <m:oMath>
        <m:r>
          <m:t>ω</m:t>
        </m:r>
      </m:oMath>
      <w:r>
        <w:t xml:space="preserve">. The unit circle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lies within the ROC, so</w:t>
      </w:r>
      <w:r>
        <w:t xml:space="preserve"> </w:t>
      </w:r>
      <w:r>
        <w:rPr>
          <w:b/>
          <w:bCs/>
        </w:rPr>
        <w:t xml:space="preserve">yes, the DTFT exists</w:t>
      </w:r>
      <w:r>
        <w:t xml:space="preserve"> </w:t>
      </w:r>
      <w:r>
        <w:t xml:space="preserve">(it is simply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ω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j</m:t>
            </m:r>
            <m:r>
              <m:t>ω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ω</m:t>
            </m:r>
          </m:sup>
        </m:sSup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9731c54f4ac1fd1c882c78720a8db6f273bb150"/>
    <w:p>
      <w:pPr>
        <w:pStyle w:val="Heading2"/>
      </w:pPr>
      <w:r>
        <w:t xml:space="preserve">5. Right-Sided Exponential and Convergence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1.2</m:t>
                </m:r>
              </m:e>
            </m:d>
          </m:e>
          <m:sup>
            <m:r>
              <m:t>n</m:t>
            </m:r>
          </m:sup>
        </m:sSup>
        <m:r>
          <m:t>u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</w:p>
    <w:bookmarkStart w:id="41" w:name="z-transform-via-geometric-series"/>
    <w:p>
      <w:pPr>
        <w:pStyle w:val="Heading3"/>
      </w:pPr>
      <w:r>
        <w:t xml:space="preserve">z-Transform via geometric series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1.2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e>
          </m:nary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1.2</m:t>
                      </m:r>
                      <m:r>
                        <m:t> </m:t>
                      </m:r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This geometric series converges when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1.2</m:t>
            </m:r>
            <m:r>
              <m:t> 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&lt;</m:t>
        </m:r>
        <m:r>
          <m:t>1</m:t>
        </m:r>
      </m:oMath>
      <w:r>
        <w:t xml:space="preserve">, i.e.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&gt;</m:t>
        </m:r>
        <m:r>
          <m:t>1.2</m:t>
        </m:r>
      </m:oMath>
      <w:r>
        <w:t xml:space="preserve">, giving: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1.2</m:t>
                  </m:r>
                  <m:r>
                    <m:t> 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nor/>
                  <m:sty m:val="p"/>
                </m:rPr>
                <m:t>ROC: 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&gt;</m:t>
              </m:r>
              <m:r>
                <m:t>1.2</m:t>
              </m:r>
            </m:e>
          </m:borderBox>
        </m:oMath>
      </m:oMathPara>
    </w:p>
    <w:bookmarkEnd w:id="41"/>
    <w:bookmarkStart w:id="42" w:name="pole"/>
    <w:p>
      <w:pPr>
        <w:pStyle w:val="Heading3"/>
      </w:pPr>
      <w:r>
        <w:t xml:space="preserve">Pole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Pole at </m:t>
          </m:r>
          <m:r>
            <m:t>z</m:t>
          </m:r>
          <m:r>
            <m:rPr>
              <m:sty m:val="p"/>
            </m:rPr>
            <m:t>=</m:t>
          </m:r>
          <m:r>
            <m:t>1.2</m:t>
          </m:r>
        </m:oMath>
      </m:oMathPara>
    </w:p>
    <w:bookmarkEnd w:id="42"/>
    <w:bookmarkStart w:id="43" w:name="does-the-dtft-exist-1"/>
    <w:p>
      <w:pPr>
        <w:pStyle w:val="Heading3"/>
      </w:pPr>
      <w:r>
        <w:t xml:space="preserve">Does the DTFT exist?</w:t>
      </w:r>
    </w:p>
    <w:p>
      <w:pPr>
        <w:pStyle w:val="FirstParagraph"/>
      </w:pPr>
      <w:r>
        <w:t xml:space="preserve">No. The ROC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&gt;</m:t>
        </m:r>
        <m:r>
          <m:t>1.2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unit circle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1.2</m:t>
        </m:r>
        <m:r>
          <m:rPr>
            <m:sty m:val="p"/>
          </m:rPr>
          <m:t>&gt;</m:t>
        </m:r>
        <m:r>
          <m:t>1</m:t>
        </m:r>
      </m:oMath>
      <w:r>
        <w:t xml:space="preserve">). Equivalently,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1.2</m:t>
                </m:r>
              </m:e>
            </m:d>
          </m:e>
          <m:sup>
            <m:r>
              <m:t>n</m:t>
            </m:r>
          </m:sup>
        </m:sSup>
        <m:r>
          <m:t>u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grows without bound and is not absolutely (or even square) summable, so the DTFT does not converge.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9c3728a40b25dac831560dba761cb9f270eee7e"/>
    <w:p>
      <w:pPr>
        <w:pStyle w:val="Heading2"/>
      </w:pPr>
      <w:r>
        <w:t xml:space="preserve">6. Same Algebra, Different ROC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0.75</m:t>
            </m:r>
            <m:r>
              <m:t> 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</w:p>
    <w:bookmarkStart w:id="45" w:name="a-roc-z--075"/>
    <w:p>
      <w:pPr>
        <w:pStyle w:val="Heading3"/>
      </w:pPr>
      <w:r>
        <w:t xml:space="preserve">a) ROC: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&gt;</m:t>
        </m:r>
        <m:r>
          <m:t>0.75</m:t>
        </m:r>
      </m:oMath>
    </w:p>
    <w:p>
      <w:pPr>
        <w:pStyle w:val="FirstParagraph"/>
      </w:pPr>
      <w:r>
        <w:t xml:space="preserve">This ROC is the exterior of the pole, associated with a</w:t>
      </w:r>
      <w:r>
        <w:t xml:space="preserve"> </w:t>
      </w:r>
      <w:r>
        <w:rPr>
          <w:b/>
          <w:bCs/>
        </w:rPr>
        <w:t xml:space="preserve">right-sided (causal)</w:t>
      </w:r>
      <w:r>
        <w:t xml:space="preserve"> </w:t>
      </w:r>
      <w:r>
        <w:t xml:space="preserve">sequence: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0.75</m:t>
                  </m:r>
                </m:e>
              </m:d>
            </m:e>
            <m:sup>
              <m:r>
                <m:t>n</m:t>
              </m:r>
            </m:sup>
          </m:sSup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bookmarkEnd w:id="45"/>
    <w:bookmarkStart w:id="46" w:name="b-roc-z--075"/>
    <w:p>
      <w:pPr>
        <w:pStyle w:val="Heading3"/>
      </w:pPr>
      <w:r>
        <w:t xml:space="preserve">b) ROC: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t>0.75</m:t>
        </m:r>
      </m:oMath>
    </w:p>
    <w:p>
      <w:pPr>
        <w:pStyle w:val="FirstParagraph"/>
      </w:pPr>
      <w:r>
        <w:t xml:space="preserve">This ROC is the interior of the pole, associated with a</w:t>
      </w:r>
      <w:r>
        <w:t xml:space="preserve"> </w:t>
      </w:r>
      <w:r>
        <w:rPr>
          <w:b/>
          <w:bCs/>
        </w:rPr>
        <w:t xml:space="preserve">left-sided (anticausal)</w:t>
      </w:r>
      <w:r>
        <w:t xml:space="preserve"> </w:t>
      </w:r>
      <w:r>
        <w:t xml:space="preserve">sequence: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0.75</m:t>
                  </m:r>
                </m:e>
              </m:d>
            </m:e>
            <m:sup>
              <m:r>
                <m:t>n</m:t>
              </m:r>
            </m:sup>
          </m:sSup>
          <m:r>
            <m:t>u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bookmarkEnd w:id="46"/>
    <w:bookmarkStart w:id="47" w:name="X20fa7a24c151dc994735d5bc34b0211d3d9fe3b"/>
    <w:p>
      <w:pPr>
        <w:pStyle w:val="Heading3"/>
      </w:pPr>
      <w:r>
        <w:t xml:space="preserve">Why the same rational expression gives two different answers</w:t>
      </w:r>
    </w:p>
    <w:p>
      <w:pPr>
        <w:pStyle w:val="FirstParagraph"/>
      </w:pPr>
      <w:r>
        <w:t xml:space="preserve">The algebraic expression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alone only fixes the poles/zeros; the</w:t>
      </w:r>
      <w:r>
        <w:t xml:space="preserve"> </w:t>
      </w:r>
      <w:r>
        <w:rPr>
          <w:b/>
          <w:bCs/>
        </w:rPr>
        <w:t xml:space="preserve">ROC</w:t>
      </w:r>
      <w:r>
        <w:t xml:space="preserve"> </w:t>
      </w:r>
      <w:r>
        <w:t xml:space="preserve">determines which side of each pole the power series is expanded on (causal vs. anticausal), so specifying the ROC is essential to uniquely invert a rational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a6c23537709464cf63d7945d18d8a828c85132c"/>
    <w:p>
      <w:pPr>
        <w:pStyle w:val="Heading2"/>
      </w:pPr>
      <w:r>
        <w:t xml:space="preserve">7. Partial Fractions with Two ROCs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0.5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0.8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den>
        </m:f>
      </m:oMath>
    </w:p>
    <w:bookmarkStart w:id="49" w:name="partial-fraction-expansion"/>
    <w:p>
      <w:pPr>
        <w:pStyle w:val="Heading3"/>
      </w:pPr>
      <w:r>
        <w:t xml:space="preserve">Partial fraction expansion</w:t>
      </w:r>
    </w:p>
    <w:p>
      <w:pPr>
        <w:pStyle w:val="FirstParagraph"/>
      </w:pPr>
      <w:r>
        <w:t xml:space="preserve">Write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0.5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0.8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Substituting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0.8</m:t>
            </m:r>
            <m:r>
              <m:t>x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0.5</m:t>
            </m:r>
            <m:r>
              <m:t>x</m:t>
            </m:r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 </m:t>
        </m:r>
        <m:r>
          <m:t>1</m:t>
        </m:r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1.6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  <m:r>
          <m:t>A</m:t>
        </m:r>
        <m:r>
          <m:t> </m:t>
        </m:r>
        <m:r>
          <m:rPr>
            <m:sty m:val="p"/>
          </m:rPr>
          <m:t>⇒</m:t>
        </m:r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0"/>
          <w:numId w:val="1003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0.8</m:t>
        </m:r>
        <m:r>
          <m:rPr>
            <m:sty m:val="p"/>
          </m:rPr>
          <m:t>=</m:t>
        </m:r>
        <m:r>
          <m:t>1.25</m:t>
        </m:r>
      </m:oMath>
      <w:r>
        <w:t xml:space="preserve">:</w:t>
      </w:r>
      <w:r>
        <w:t xml:space="preserve"> </w:t>
      </w:r>
      <m:oMath>
        <m:r>
          <m:t> </m:t>
        </m:r>
        <m:r>
          <m:t>1</m:t>
        </m:r>
        <m:r>
          <m:rPr>
            <m:sty m:val="p"/>
          </m:rPr>
          <m:t>=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0.625</m:t>
            </m:r>
          </m:e>
        </m:d>
        <m:r>
          <m:rPr>
            <m:sty m:val="p"/>
          </m:rPr>
          <m:t>=</m:t>
        </m:r>
        <m:r>
          <m:t>0.375</m:t>
        </m:r>
        <m:r>
          <m:t>B</m:t>
        </m:r>
        <m:r>
          <m:t> </m:t>
        </m:r>
        <m:r>
          <m:rPr>
            <m:sty m:val="p"/>
          </m:rPr>
          <m:t>⇒</m:t>
        </m:r>
        <m:r>
          <m:t> 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FirstParagraph"/>
      </w:pPr>
      <w:r>
        <w:t xml:space="preserve">(Check: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âœ“, matching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sSub>
          <m:e>
            <m:r>
              <m:rPr>
                <m:sty m:val="p"/>
              </m:rPr>
              <m:t>|</m:t>
            </m:r>
          </m:e>
          <m:sub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.)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0.8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Poles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49"/>
    <w:bookmarkStart w:id="50" w:name="X664df8bc5d94a7742809751e2f0f2f6a633bc0d"/>
    <w:p>
      <w:pPr>
        <w:pStyle w:val="Heading3"/>
      </w:pPr>
      <w:r>
        <w:t xml:space="preserve">a) ROC: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&gt;</m:t>
        </m:r>
        <m:r>
          <m:t>0.8</m:t>
        </m:r>
      </m:oMath>
      <w:r>
        <w:t xml:space="preserve"> </w:t>
      </w:r>
      <w:r>
        <w:t xml:space="preserve">(outside both poles -- causal/stable-looking, right-sided)</w:t>
      </w:r>
    </w:p>
    <w:p>
      <w:pPr>
        <w:pStyle w:val="FirstParagraph"/>
      </w:pPr>
      <w:r>
        <w:t xml:space="preserve">Both terms are inverted as right-sided sequences: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0.5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t>u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0.8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t>u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e>
          </m:borderBox>
        </m:oMath>
      </m:oMathPara>
    </w:p>
    <w:bookmarkEnd w:id="50"/>
    <w:bookmarkStart w:id="51" w:name="b-roc-05--z--08-between-the-two-poles"/>
    <w:p>
      <w:pPr>
        <w:pStyle w:val="Heading3"/>
      </w:pPr>
      <w:r>
        <w:t xml:space="preserve">b) ROC:</w:t>
      </w:r>
      <w:r>
        <w:t xml:space="preserve"> </w:t>
      </w:r>
      <m:oMath>
        <m:r>
          <m:t>0.5</m:t>
        </m:r>
        <m:r>
          <m:rPr>
            <m:sty m:val="p"/>
          </m:rPr>
          <m:t>&lt;</m:t>
        </m:r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t>0.8</m:t>
        </m:r>
      </m:oMath>
      <w:r>
        <w:t xml:space="preserve"> </w:t>
      </w:r>
      <w:r>
        <w:t xml:space="preserve">(between the two poles)</w:t>
      </w:r>
    </w:p>
    <w:p>
      <w:pPr>
        <w:pStyle w:val="FirstParagraph"/>
      </w:pPr>
      <w:r>
        <w:t xml:space="preserve">This ROC lies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pole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(so that term is right-sided) but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pole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(so that term is left-sided/anticausal):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0.5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t>u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0.8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t>u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This is a genuinely</w:t>
      </w:r>
      <w:r>
        <w:t xml:space="preserve"> </w:t>
      </w:r>
      <w:r>
        <w:rPr>
          <w:b/>
          <w:bCs/>
        </w:rPr>
        <w:t xml:space="preserve">two-sided</w:t>
      </w:r>
      <w:r>
        <w:t xml:space="preserve"> </w:t>
      </w:r>
      <w:r>
        <w:t xml:space="preserve">sequence -- decaying for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(from the</w:t>
      </w:r>
      <w:r>
        <w:t xml:space="preserve"> </w:t>
      </w:r>
      <m:oMath>
        <m:r>
          <m:t>0.5</m:t>
        </m:r>
      </m:oMath>
      <w:r>
        <w:t xml:space="preserve">-pole term) and also decaying for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(from the</w:t>
      </w:r>
      <w:r>
        <w:t xml:space="preserve"> </w:t>
      </w:r>
      <m:oMath>
        <m:r>
          <m:t>0.8</m:t>
        </m:r>
      </m:oMath>
      <w:r>
        <w:t xml:space="preserve">-pole term), which is exactly what an annular ROC between two poles signals.</w:t>
      </w:r>
    </w:p>
    <w:bookmarkEnd w:id="51"/>
    <w:bookmarkEnd w:id="52"/>
    <w:bookmarkEnd w:id="53"/>
    <w:bookmarkStart w:id="54" w:name="X512a5a3de82b6f520256bd3d8e82f28bfe64e23"/>
    <w:p>
      <w:pPr>
        <w:pStyle w:val="SourceCode"/>
      </w:pP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2026-09-05T18:50:17Z</dcterms:created>
  <dcterms:modified xsi:type="dcterms:W3CDTF">2026-09-05T18:50:17Z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