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6D9" w14:textId="43F363AD" w:rsidR="00D66695" w:rsidRPr="006C7F8C" w:rsidRDefault="00D66695" w:rsidP="00D66695">
      <w:pPr>
        <w:pStyle w:val="Standard"/>
        <w:rPr>
          <w:i/>
          <w:iCs/>
          <w:sz w:val="44"/>
          <w:szCs w:val="44"/>
        </w:rPr>
      </w:pPr>
    </w:p>
    <w:p w14:paraId="2BA39243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3D2EED5B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4C548DCE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62D0F831" w14:textId="4EADD898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  <w:r w:rsidRPr="006C7F8C">
        <w:rPr>
          <w:i/>
          <w:iCs/>
          <w:sz w:val="44"/>
          <w:szCs w:val="44"/>
        </w:rPr>
        <w:t>HMIN</w:t>
      </w:r>
      <w:r w:rsidR="005C054A">
        <w:rPr>
          <w:i/>
          <w:iCs/>
          <w:sz w:val="44"/>
          <w:szCs w:val="44"/>
        </w:rPr>
        <w:t>323</w:t>
      </w:r>
      <w:r w:rsidRPr="006C7F8C">
        <w:rPr>
          <w:i/>
          <w:iCs/>
          <w:sz w:val="44"/>
          <w:szCs w:val="44"/>
        </w:rPr>
        <w:t>:</w:t>
      </w:r>
      <w:r w:rsidR="00265CA4">
        <w:rPr>
          <w:i/>
          <w:iCs/>
          <w:sz w:val="44"/>
          <w:szCs w:val="44"/>
        </w:rPr>
        <w:t> </w:t>
      </w:r>
      <w:r w:rsidR="005C054A">
        <w:rPr>
          <w:i/>
          <w:iCs/>
          <w:sz w:val="44"/>
          <w:szCs w:val="44"/>
        </w:rPr>
        <w:t>Informatique graphique</w:t>
      </w:r>
    </w:p>
    <w:p w14:paraId="05CE6046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6D975D9E" w14:textId="1508780B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  <w:r w:rsidRPr="006C7F8C">
        <w:rPr>
          <w:sz w:val="36"/>
          <w:szCs w:val="36"/>
        </w:rPr>
        <w:t xml:space="preserve">Rendu </w:t>
      </w:r>
      <w:r w:rsidR="005C054A">
        <w:rPr>
          <w:sz w:val="36"/>
          <w:szCs w:val="36"/>
        </w:rPr>
        <w:t>T</w:t>
      </w:r>
      <w:r w:rsidR="00D0521C">
        <w:rPr>
          <w:sz w:val="36"/>
          <w:szCs w:val="36"/>
        </w:rPr>
        <w:t>P</w:t>
      </w:r>
      <w:r w:rsidRPr="006C7F8C">
        <w:rPr>
          <w:sz w:val="36"/>
          <w:szCs w:val="36"/>
        </w:rPr>
        <w:t xml:space="preserve"> : </w:t>
      </w:r>
      <w:r w:rsidR="00915EB2">
        <w:rPr>
          <w:sz w:val="36"/>
          <w:szCs w:val="36"/>
        </w:rPr>
        <w:t>PBR</w:t>
      </w:r>
    </w:p>
    <w:p w14:paraId="62EF6909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159D7B2E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558B3F51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5A08FBB0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25AC730B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63C63A3F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Tianning MA</w:t>
      </w:r>
    </w:p>
    <w:p w14:paraId="46B56724" w14:textId="78048C3D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M</w:t>
      </w:r>
      <w:r w:rsidR="006648CA">
        <w:rPr>
          <w:sz w:val="32"/>
          <w:szCs w:val="32"/>
        </w:rPr>
        <w:t>2</w:t>
      </w:r>
      <w:r w:rsidRPr="006C7F8C">
        <w:rPr>
          <w:sz w:val="32"/>
          <w:szCs w:val="32"/>
        </w:rPr>
        <w:t xml:space="preserve"> IMAGINA</w:t>
      </w:r>
    </w:p>
    <w:p w14:paraId="3842AB44" w14:textId="5F1F461E" w:rsidR="00D66695" w:rsidRPr="006C7F8C" w:rsidRDefault="00915EB2" w:rsidP="00D6669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09</w:t>
      </w:r>
      <w:r w:rsidR="00D66695" w:rsidRPr="006C7F8C">
        <w:rPr>
          <w:sz w:val="32"/>
          <w:szCs w:val="32"/>
        </w:rPr>
        <w:t>/</w:t>
      </w:r>
      <w:r w:rsidR="00926698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D66695" w:rsidRPr="006C7F8C">
        <w:rPr>
          <w:sz w:val="32"/>
          <w:szCs w:val="32"/>
        </w:rPr>
        <w:t>/2020</w:t>
      </w:r>
    </w:p>
    <w:p w14:paraId="70B12BB6" w14:textId="77777777" w:rsidR="00D66695" w:rsidRPr="006C7F8C" w:rsidRDefault="00D66695" w:rsidP="00D66695"/>
    <w:p w14:paraId="57E6E76B" w14:textId="2F38FEB5" w:rsidR="00D66695" w:rsidRDefault="00D66695" w:rsidP="00D66695"/>
    <w:p w14:paraId="38903999" w14:textId="77777777" w:rsidR="00265CA4" w:rsidRPr="006C7F8C" w:rsidRDefault="00265CA4" w:rsidP="00D66695"/>
    <w:p w14:paraId="5048C8EA" w14:textId="77777777" w:rsidR="00D66695" w:rsidRPr="006C7F8C" w:rsidRDefault="00D66695" w:rsidP="00D66695"/>
    <w:p w14:paraId="13509912" w14:textId="77777777" w:rsidR="00D66695" w:rsidRPr="006C7F8C" w:rsidRDefault="00D66695" w:rsidP="00D66695"/>
    <w:p w14:paraId="160CF5C6" w14:textId="5D75AA2B" w:rsidR="00D66695" w:rsidRDefault="00D66695" w:rsidP="00D66695"/>
    <w:p w14:paraId="060E1841" w14:textId="65C526EA" w:rsidR="002E2CD7" w:rsidRDefault="002E2CD7" w:rsidP="00D66695"/>
    <w:p w14:paraId="5772CCC7" w14:textId="6A26CC1A" w:rsidR="002E2CD7" w:rsidRDefault="002E2CD7" w:rsidP="00D66695"/>
    <w:p w14:paraId="6D70EB2B" w14:textId="1FFAB5C7" w:rsidR="002E2CD7" w:rsidRDefault="002E2CD7" w:rsidP="00D66695"/>
    <w:p w14:paraId="701C4F28" w14:textId="77777777" w:rsidR="002E2CD7" w:rsidRPr="006C7F8C" w:rsidRDefault="002E2CD7" w:rsidP="00D66695"/>
    <w:p w14:paraId="0A3D632E" w14:textId="77777777" w:rsidR="00D66695" w:rsidRPr="006C7F8C" w:rsidRDefault="00D66695" w:rsidP="00D66695"/>
    <w:p w14:paraId="7012A2AA" w14:textId="77777777" w:rsidR="00D66695" w:rsidRPr="006C7F8C" w:rsidRDefault="00D66695" w:rsidP="00D66695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0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32129" w14:textId="5C5CA49D" w:rsidR="006C7F8C" w:rsidRPr="006C7F8C" w:rsidRDefault="006C7F8C">
          <w:pPr>
            <w:pStyle w:val="TOC"/>
          </w:pPr>
          <w:r w:rsidRPr="006C7F8C">
            <w:t>Table de matière</w:t>
          </w:r>
        </w:p>
        <w:p w14:paraId="324A259A" w14:textId="08B7BD7D" w:rsidR="00367AD4" w:rsidRDefault="006C7F8C">
          <w:pPr>
            <w:pStyle w:val="TOC1"/>
            <w:rPr>
              <w:noProof/>
            </w:rPr>
          </w:pPr>
          <w:r w:rsidRPr="006C7F8C">
            <w:fldChar w:fldCharType="begin"/>
          </w:r>
          <w:r w:rsidRPr="006C7F8C">
            <w:instrText xml:space="preserve"> TOC \o "1-3" \h \z \u </w:instrText>
          </w:r>
          <w:r w:rsidRPr="006C7F8C">
            <w:fldChar w:fldCharType="separate"/>
          </w:r>
          <w:hyperlink w:anchor="_Toc55815006" w:history="1">
            <w:r w:rsidR="00367AD4" w:rsidRPr="00EE4975">
              <w:rPr>
                <w:rStyle w:val="a4"/>
                <w:noProof/>
              </w:rPr>
              <w:t>1.</w:t>
            </w:r>
            <w:r w:rsidR="00367AD4">
              <w:rPr>
                <w:noProof/>
              </w:rPr>
              <w:tab/>
            </w:r>
            <w:r w:rsidR="00367AD4" w:rsidRPr="00EE4975">
              <w:rPr>
                <w:rStyle w:val="a4"/>
                <w:noProof/>
              </w:rPr>
              <w:t>Introduction</w:t>
            </w:r>
            <w:r w:rsidR="00367AD4">
              <w:rPr>
                <w:noProof/>
                <w:webHidden/>
              </w:rPr>
              <w:tab/>
            </w:r>
            <w:r w:rsidR="00367AD4">
              <w:rPr>
                <w:noProof/>
                <w:webHidden/>
              </w:rPr>
              <w:fldChar w:fldCharType="begin"/>
            </w:r>
            <w:r w:rsidR="00367AD4">
              <w:rPr>
                <w:noProof/>
                <w:webHidden/>
              </w:rPr>
              <w:instrText xml:space="preserve"> PAGEREF _Toc55815006 \h </w:instrText>
            </w:r>
            <w:r w:rsidR="00367AD4">
              <w:rPr>
                <w:noProof/>
                <w:webHidden/>
              </w:rPr>
            </w:r>
            <w:r w:rsidR="00367AD4">
              <w:rPr>
                <w:noProof/>
                <w:webHidden/>
              </w:rPr>
              <w:fldChar w:fldCharType="separate"/>
            </w:r>
            <w:r w:rsidR="00367AD4">
              <w:rPr>
                <w:noProof/>
                <w:webHidden/>
              </w:rPr>
              <w:t>2</w:t>
            </w:r>
            <w:r w:rsidR="00367AD4">
              <w:rPr>
                <w:noProof/>
                <w:webHidden/>
              </w:rPr>
              <w:fldChar w:fldCharType="end"/>
            </w:r>
          </w:hyperlink>
        </w:p>
        <w:p w14:paraId="619140D0" w14:textId="2E77E2F7" w:rsidR="00367AD4" w:rsidRDefault="00CE1DA3">
          <w:pPr>
            <w:pStyle w:val="TOC1"/>
            <w:rPr>
              <w:noProof/>
            </w:rPr>
          </w:pPr>
          <w:hyperlink w:anchor="_Toc55815007" w:history="1">
            <w:r w:rsidR="00367AD4" w:rsidRPr="00EE4975">
              <w:rPr>
                <w:rStyle w:val="a4"/>
                <w:noProof/>
              </w:rPr>
              <w:t>2.</w:t>
            </w:r>
            <w:r w:rsidR="00367AD4">
              <w:rPr>
                <w:noProof/>
              </w:rPr>
              <w:tab/>
            </w:r>
            <w:r w:rsidR="00367AD4" w:rsidRPr="00EE4975">
              <w:rPr>
                <w:rStyle w:val="a4"/>
                <w:noProof/>
              </w:rPr>
              <w:t>Rendu et explication des exercices</w:t>
            </w:r>
            <w:r w:rsidR="00367AD4">
              <w:rPr>
                <w:noProof/>
                <w:webHidden/>
              </w:rPr>
              <w:tab/>
            </w:r>
            <w:r w:rsidR="00367AD4">
              <w:rPr>
                <w:noProof/>
                <w:webHidden/>
              </w:rPr>
              <w:fldChar w:fldCharType="begin"/>
            </w:r>
            <w:r w:rsidR="00367AD4">
              <w:rPr>
                <w:noProof/>
                <w:webHidden/>
              </w:rPr>
              <w:instrText xml:space="preserve"> PAGEREF _Toc55815007 \h </w:instrText>
            </w:r>
            <w:r w:rsidR="00367AD4">
              <w:rPr>
                <w:noProof/>
                <w:webHidden/>
              </w:rPr>
            </w:r>
            <w:r w:rsidR="00367AD4">
              <w:rPr>
                <w:noProof/>
                <w:webHidden/>
              </w:rPr>
              <w:fldChar w:fldCharType="separate"/>
            </w:r>
            <w:r w:rsidR="00367AD4">
              <w:rPr>
                <w:noProof/>
                <w:webHidden/>
              </w:rPr>
              <w:t>2</w:t>
            </w:r>
            <w:r w:rsidR="00367AD4">
              <w:rPr>
                <w:noProof/>
                <w:webHidden/>
              </w:rPr>
              <w:fldChar w:fldCharType="end"/>
            </w:r>
          </w:hyperlink>
        </w:p>
        <w:p w14:paraId="1C704A6D" w14:textId="38A3DD28" w:rsidR="00367AD4" w:rsidRDefault="00CE1DA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5815008" w:history="1">
            <w:r w:rsidR="00367AD4" w:rsidRPr="00EE4975">
              <w:rPr>
                <w:rStyle w:val="a4"/>
                <w:noProof/>
              </w:rPr>
              <w:t>2.1 Ajout des PBR paramètres</w:t>
            </w:r>
            <w:r w:rsidR="00367AD4">
              <w:rPr>
                <w:noProof/>
                <w:webHidden/>
              </w:rPr>
              <w:tab/>
            </w:r>
            <w:r w:rsidR="00367AD4">
              <w:rPr>
                <w:noProof/>
                <w:webHidden/>
              </w:rPr>
              <w:fldChar w:fldCharType="begin"/>
            </w:r>
            <w:r w:rsidR="00367AD4">
              <w:rPr>
                <w:noProof/>
                <w:webHidden/>
              </w:rPr>
              <w:instrText xml:space="preserve"> PAGEREF _Toc55815008 \h </w:instrText>
            </w:r>
            <w:r w:rsidR="00367AD4">
              <w:rPr>
                <w:noProof/>
                <w:webHidden/>
              </w:rPr>
            </w:r>
            <w:r w:rsidR="00367AD4">
              <w:rPr>
                <w:noProof/>
                <w:webHidden/>
              </w:rPr>
              <w:fldChar w:fldCharType="separate"/>
            </w:r>
            <w:r w:rsidR="00367AD4">
              <w:rPr>
                <w:noProof/>
                <w:webHidden/>
              </w:rPr>
              <w:t>2</w:t>
            </w:r>
            <w:r w:rsidR="00367AD4">
              <w:rPr>
                <w:noProof/>
                <w:webHidden/>
              </w:rPr>
              <w:fldChar w:fldCharType="end"/>
            </w:r>
          </w:hyperlink>
        </w:p>
        <w:p w14:paraId="1AE3E96D" w14:textId="4E1A94F9" w:rsidR="00367AD4" w:rsidRDefault="00CE1DA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5815009" w:history="1">
            <w:r w:rsidR="00367AD4" w:rsidRPr="00EE4975">
              <w:rPr>
                <w:rStyle w:val="a4"/>
                <w:noProof/>
              </w:rPr>
              <w:t>2.2 Changement de modèle (de plus de triangles)</w:t>
            </w:r>
            <w:r w:rsidR="00367AD4">
              <w:rPr>
                <w:noProof/>
                <w:webHidden/>
              </w:rPr>
              <w:tab/>
            </w:r>
            <w:r w:rsidR="00367AD4">
              <w:rPr>
                <w:noProof/>
                <w:webHidden/>
              </w:rPr>
              <w:fldChar w:fldCharType="begin"/>
            </w:r>
            <w:r w:rsidR="00367AD4">
              <w:rPr>
                <w:noProof/>
                <w:webHidden/>
              </w:rPr>
              <w:instrText xml:space="preserve"> PAGEREF _Toc55815009 \h </w:instrText>
            </w:r>
            <w:r w:rsidR="00367AD4">
              <w:rPr>
                <w:noProof/>
                <w:webHidden/>
              </w:rPr>
            </w:r>
            <w:r w:rsidR="00367AD4">
              <w:rPr>
                <w:noProof/>
                <w:webHidden/>
              </w:rPr>
              <w:fldChar w:fldCharType="separate"/>
            </w:r>
            <w:r w:rsidR="00367AD4">
              <w:rPr>
                <w:noProof/>
                <w:webHidden/>
              </w:rPr>
              <w:t>3</w:t>
            </w:r>
            <w:r w:rsidR="00367AD4">
              <w:rPr>
                <w:noProof/>
                <w:webHidden/>
              </w:rPr>
              <w:fldChar w:fldCharType="end"/>
            </w:r>
          </w:hyperlink>
        </w:p>
        <w:p w14:paraId="1CFC0913" w14:textId="347ECC6C" w:rsidR="006C7F8C" w:rsidRPr="006C7F8C" w:rsidRDefault="006C7F8C">
          <w:r w:rsidRPr="006C7F8C">
            <w:rPr>
              <w:b/>
              <w:bCs/>
            </w:rPr>
            <w:fldChar w:fldCharType="end"/>
          </w:r>
        </w:p>
      </w:sdtContent>
    </w:sdt>
    <w:p w14:paraId="3BF5DD78" w14:textId="521BFB7E" w:rsidR="00F21373" w:rsidRPr="006C7F8C" w:rsidRDefault="00F21373">
      <w:pPr>
        <w:rPr>
          <w:b/>
          <w:bCs/>
          <w:sz w:val="28"/>
          <w:szCs w:val="28"/>
        </w:rPr>
      </w:pPr>
    </w:p>
    <w:p w14:paraId="168BE1B3" w14:textId="609BBA51" w:rsidR="00F21373" w:rsidRPr="006C7F8C" w:rsidRDefault="00F21373" w:rsidP="00CF6C47">
      <w:pPr>
        <w:pStyle w:val="1"/>
        <w:numPr>
          <w:ilvl w:val="0"/>
          <w:numId w:val="2"/>
        </w:numPr>
      </w:pPr>
      <w:bookmarkStart w:id="0" w:name="_Toc55815006"/>
      <w:r w:rsidRPr="006C7F8C">
        <w:t>Introduction</w:t>
      </w:r>
      <w:bookmarkEnd w:id="0"/>
    </w:p>
    <w:p w14:paraId="5147A91D" w14:textId="452FA8C2" w:rsidR="00F21373" w:rsidRPr="006C7F8C" w:rsidRDefault="00F21373" w:rsidP="00F21373"/>
    <w:p w14:paraId="3FBDA4E4" w14:textId="3689B67C" w:rsidR="00CC72E0" w:rsidRDefault="00F21373" w:rsidP="0022178F">
      <w:pPr>
        <w:ind w:firstLine="360"/>
      </w:pPr>
      <w:r w:rsidRPr="006C7F8C">
        <w:t xml:space="preserve">Ce compte rendu est dédié </w:t>
      </w:r>
      <w:r w:rsidR="00C60FDC">
        <w:t xml:space="preserve">au </w:t>
      </w:r>
      <w:r w:rsidR="005C054A">
        <w:t>TP</w:t>
      </w:r>
      <w:r w:rsidR="00D0521C">
        <w:t xml:space="preserve"> </w:t>
      </w:r>
      <w:r w:rsidR="009216C6">
        <w:t>PBR en WebGL</w:t>
      </w:r>
      <w:r w:rsidR="00CD03DB">
        <w:t xml:space="preserve">. </w:t>
      </w:r>
      <w:r w:rsidR="00C53805">
        <w:t xml:space="preserve"> </w:t>
      </w:r>
    </w:p>
    <w:p w14:paraId="354AE57A" w14:textId="22FFE81D" w:rsidR="009075A3" w:rsidRDefault="00F57F88" w:rsidP="009075A3">
      <w:pPr>
        <w:pStyle w:val="1"/>
        <w:numPr>
          <w:ilvl w:val="0"/>
          <w:numId w:val="2"/>
        </w:numPr>
      </w:pPr>
      <w:bookmarkStart w:id="1" w:name="_Toc55815007"/>
      <w:r>
        <w:t>Rendu</w:t>
      </w:r>
      <w:r w:rsidR="00CB5E00">
        <w:t xml:space="preserve"> </w:t>
      </w:r>
      <w:r w:rsidR="00CC72E0">
        <w:t xml:space="preserve">et explication </w:t>
      </w:r>
      <w:r>
        <w:t xml:space="preserve">des </w:t>
      </w:r>
      <w:r w:rsidR="002B76BD">
        <w:t>exercices</w:t>
      </w:r>
      <w:bookmarkEnd w:id="1"/>
    </w:p>
    <w:p w14:paraId="177489C6" w14:textId="77777777" w:rsidR="00FE439B" w:rsidRDefault="00FE439B" w:rsidP="00FE439B">
      <w:pPr>
        <w:pStyle w:val="a5"/>
        <w:ind w:left="360"/>
      </w:pPr>
    </w:p>
    <w:p w14:paraId="79C2E2AE" w14:textId="42611103" w:rsidR="00FE439B" w:rsidRPr="00FE439B" w:rsidRDefault="00FE439B" w:rsidP="00FE439B">
      <w:pPr>
        <w:pStyle w:val="a5"/>
        <w:ind w:left="360"/>
        <w:rPr>
          <w:i/>
          <w:iCs/>
        </w:rPr>
      </w:pPr>
      <w:r w:rsidRPr="00FE439B">
        <w:rPr>
          <w:i/>
          <w:iCs/>
        </w:rPr>
        <w:t>Remarque</w:t>
      </w:r>
      <w:r>
        <w:rPr>
          <w:i/>
          <w:iCs/>
        </w:rPr>
        <w:t> </w:t>
      </w:r>
      <w:r w:rsidRPr="00FE439B">
        <w:rPr>
          <w:i/>
          <w:iCs/>
        </w:rPr>
        <w:t>: j’ai bien constaté que le roughness doit être un floatant de [0,1], cependant les captures d’écran montrent c’est un chiffre de [0,100]. J</w:t>
      </w:r>
      <w:r>
        <w:rPr>
          <w:i/>
          <w:iCs/>
        </w:rPr>
        <w:t>e suis conscient de ce problème, mais au moment de capturer</w:t>
      </w:r>
      <w:r w:rsidR="00D527E4">
        <w:rPr>
          <w:i/>
          <w:iCs/>
        </w:rPr>
        <w:t xml:space="preserve"> </w:t>
      </w:r>
      <w:r w:rsidR="00D527E4">
        <w:rPr>
          <w:i/>
          <w:iCs/>
        </w:rPr>
        <w:t>(certaines)</w:t>
      </w:r>
      <w:r>
        <w:rPr>
          <w:i/>
          <w:iCs/>
        </w:rPr>
        <w:t xml:space="preserve"> les images, je l’ai pas encore modifié</w:t>
      </w:r>
      <w:r w:rsidR="00F66EDB">
        <w:rPr>
          <w:i/>
          <w:iCs/>
        </w:rPr>
        <w:t>, cela reste à corriger.</w:t>
      </w:r>
    </w:p>
    <w:p w14:paraId="4E785788" w14:textId="77777777" w:rsidR="00FE439B" w:rsidRPr="00FE439B" w:rsidRDefault="00FE439B" w:rsidP="00FE439B"/>
    <w:p w14:paraId="7D5360E5" w14:textId="084F629F" w:rsidR="00550B20" w:rsidRPr="00550B20" w:rsidRDefault="007D4DDD" w:rsidP="007D4DDD">
      <w:pPr>
        <w:pStyle w:val="2"/>
        <w:ind w:firstLine="360"/>
      </w:pPr>
      <w:bookmarkStart w:id="2" w:name="_Toc55815008"/>
      <w:r>
        <w:t xml:space="preserve">2.1 </w:t>
      </w:r>
      <w:r w:rsidR="00550B20">
        <w:t>Ajout des PBR paramètres</w:t>
      </w:r>
      <w:bookmarkEnd w:id="2"/>
    </w:p>
    <w:p w14:paraId="3C4CC6B8" w14:textId="77777777" w:rsidR="0022178F" w:rsidRPr="0022178F" w:rsidRDefault="0022178F" w:rsidP="002217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7"/>
        <w:gridCol w:w="5199"/>
      </w:tblGrid>
      <w:tr w:rsidR="00CC5E9B" w14:paraId="0875B177" w14:textId="77777777" w:rsidTr="00096ACE">
        <w:tc>
          <w:tcPr>
            <w:tcW w:w="5257" w:type="dxa"/>
          </w:tcPr>
          <w:p w14:paraId="35920AEF" w14:textId="77777777" w:rsidR="00CC5E9B" w:rsidRDefault="00CC5E9B" w:rsidP="007F4F80">
            <w:pPr>
              <w:rPr>
                <w:noProof/>
              </w:rPr>
            </w:pPr>
          </w:p>
        </w:tc>
        <w:tc>
          <w:tcPr>
            <w:tcW w:w="5199" w:type="dxa"/>
          </w:tcPr>
          <w:p w14:paraId="3EBA3450" w14:textId="77777777" w:rsidR="00CC5E9B" w:rsidRDefault="00CC5E9B" w:rsidP="007F4F80">
            <w:pPr>
              <w:rPr>
                <w:noProof/>
              </w:rPr>
            </w:pPr>
          </w:p>
        </w:tc>
      </w:tr>
      <w:tr w:rsidR="00CC5E9B" w14:paraId="3B53E090" w14:textId="77777777" w:rsidTr="00F02B2E">
        <w:tc>
          <w:tcPr>
            <w:tcW w:w="10456" w:type="dxa"/>
            <w:gridSpan w:val="2"/>
            <w:shd w:val="clear" w:color="auto" w:fill="00B0F0"/>
          </w:tcPr>
          <w:p w14:paraId="13F1B906" w14:textId="63159F95" w:rsidR="00CC5E9B" w:rsidRDefault="00CC5E9B" w:rsidP="00F02B2E">
            <w:pPr>
              <w:jc w:val="center"/>
              <w:rPr>
                <w:noProof/>
              </w:rPr>
            </w:pPr>
            <w:r>
              <w:rPr>
                <w:noProof/>
              </w:rPr>
              <w:t>Visualisation des différents résultats selon les paramètres de roughness et metalness</w:t>
            </w:r>
          </w:p>
        </w:tc>
      </w:tr>
      <w:tr w:rsidR="00096ACE" w14:paraId="17F6D032" w14:textId="77777777" w:rsidTr="00096ACE">
        <w:tc>
          <w:tcPr>
            <w:tcW w:w="5257" w:type="dxa"/>
          </w:tcPr>
          <w:p w14:paraId="2016AB64" w14:textId="5C2A1807" w:rsidR="007F4F80" w:rsidRDefault="007F4F80" w:rsidP="007F4F80">
            <w:r>
              <w:rPr>
                <w:noProof/>
              </w:rPr>
              <w:drawing>
                <wp:inline distT="0" distB="0" distL="0" distR="0" wp14:anchorId="55E8A533" wp14:editId="0AFED56C">
                  <wp:extent cx="3227757" cy="3886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77" cy="391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20B9EE47" w14:textId="4077E173" w:rsidR="007F4F80" w:rsidRDefault="007F4F80" w:rsidP="007F4F80">
            <w:r>
              <w:rPr>
                <w:noProof/>
              </w:rPr>
              <w:drawing>
                <wp:inline distT="0" distB="0" distL="0" distR="0" wp14:anchorId="5210BFA9" wp14:editId="79D730D7">
                  <wp:extent cx="3190875" cy="38125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756" cy="38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ACE" w14:paraId="0ADC5DDC" w14:textId="77777777" w:rsidTr="00096ACE">
        <w:tc>
          <w:tcPr>
            <w:tcW w:w="5257" w:type="dxa"/>
          </w:tcPr>
          <w:p w14:paraId="3BDAD2DC" w14:textId="77777777" w:rsidR="007F4F80" w:rsidRDefault="00905247" w:rsidP="007F4F80">
            <w:r>
              <w:rPr>
                <w:noProof/>
              </w:rPr>
              <w:lastRenderedPageBreak/>
              <w:drawing>
                <wp:inline distT="0" distB="0" distL="0" distR="0" wp14:anchorId="2F306DD1" wp14:editId="6BAAD766">
                  <wp:extent cx="3190815" cy="38385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894" cy="385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DBCB1" w14:textId="58364486" w:rsidR="003C0E84" w:rsidRDefault="003C0E84" w:rsidP="007F4F80">
            <w:r>
              <w:t>(Changement de position de lumière)</w:t>
            </w:r>
          </w:p>
        </w:tc>
        <w:tc>
          <w:tcPr>
            <w:tcW w:w="5199" w:type="dxa"/>
          </w:tcPr>
          <w:p w14:paraId="285CCACA" w14:textId="77777777" w:rsidR="007F4F80" w:rsidRDefault="007F4F80" w:rsidP="007F4F80"/>
        </w:tc>
      </w:tr>
      <w:tr w:rsidR="00CC5E9B" w14:paraId="0B5E1D2E" w14:textId="77777777" w:rsidTr="00096ACE">
        <w:tc>
          <w:tcPr>
            <w:tcW w:w="5257" w:type="dxa"/>
          </w:tcPr>
          <w:p w14:paraId="40FA6558" w14:textId="77777777" w:rsidR="00CC5E9B" w:rsidRDefault="00CC5E9B" w:rsidP="007F4F80">
            <w:pPr>
              <w:rPr>
                <w:noProof/>
              </w:rPr>
            </w:pPr>
          </w:p>
        </w:tc>
        <w:tc>
          <w:tcPr>
            <w:tcW w:w="5199" w:type="dxa"/>
          </w:tcPr>
          <w:p w14:paraId="610EAF0B" w14:textId="77777777" w:rsidR="00CC5E9B" w:rsidRDefault="00CC5E9B" w:rsidP="007F4F80"/>
        </w:tc>
      </w:tr>
      <w:tr w:rsidR="00CC5E9B" w14:paraId="634005C2" w14:textId="77777777" w:rsidTr="00096ACE">
        <w:tc>
          <w:tcPr>
            <w:tcW w:w="5257" w:type="dxa"/>
          </w:tcPr>
          <w:p w14:paraId="34921B91" w14:textId="77777777" w:rsidR="00CC5E9B" w:rsidRDefault="00CC5E9B" w:rsidP="007F4F80">
            <w:pPr>
              <w:rPr>
                <w:noProof/>
              </w:rPr>
            </w:pPr>
          </w:p>
        </w:tc>
        <w:tc>
          <w:tcPr>
            <w:tcW w:w="5199" w:type="dxa"/>
          </w:tcPr>
          <w:p w14:paraId="643869CF" w14:textId="77777777" w:rsidR="00CC5E9B" w:rsidRDefault="00CC5E9B" w:rsidP="007F4F80"/>
        </w:tc>
      </w:tr>
      <w:tr w:rsidR="00CC5E9B" w14:paraId="61AE5475" w14:textId="77777777" w:rsidTr="00096ACE">
        <w:tc>
          <w:tcPr>
            <w:tcW w:w="5257" w:type="dxa"/>
          </w:tcPr>
          <w:p w14:paraId="2A29E255" w14:textId="77777777" w:rsidR="00CC5E9B" w:rsidRDefault="00CC5E9B" w:rsidP="007F4F80">
            <w:pPr>
              <w:rPr>
                <w:noProof/>
              </w:rPr>
            </w:pPr>
          </w:p>
        </w:tc>
        <w:tc>
          <w:tcPr>
            <w:tcW w:w="5199" w:type="dxa"/>
          </w:tcPr>
          <w:p w14:paraId="23DC9E36" w14:textId="77777777" w:rsidR="00CC5E9B" w:rsidRDefault="00CC5E9B" w:rsidP="007F4F80"/>
        </w:tc>
      </w:tr>
      <w:tr w:rsidR="00CC5E9B" w14:paraId="006AD0DB" w14:textId="77777777" w:rsidTr="00096ACE">
        <w:tc>
          <w:tcPr>
            <w:tcW w:w="5257" w:type="dxa"/>
          </w:tcPr>
          <w:p w14:paraId="77EAFA58" w14:textId="77777777" w:rsidR="00CC5E9B" w:rsidRDefault="00CC5E9B" w:rsidP="007F4F80">
            <w:pPr>
              <w:rPr>
                <w:noProof/>
              </w:rPr>
            </w:pPr>
          </w:p>
        </w:tc>
        <w:tc>
          <w:tcPr>
            <w:tcW w:w="5199" w:type="dxa"/>
          </w:tcPr>
          <w:p w14:paraId="0C930D1D" w14:textId="77777777" w:rsidR="00CC5E9B" w:rsidRDefault="00CC5E9B" w:rsidP="007F4F80"/>
        </w:tc>
      </w:tr>
    </w:tbl>
    <w:p w14:paraId="6FE8B2C4" w14:textId="14AF059B" w:rsidR="00D47D9B" w:rsidRDefault="00D47D9B" w:rsidP="007F4F80"/>
    <w:p w14:paraId="1976C049" w14:textId="3BF1149F" w:rsidR="007F4F80" w:rsidRDefault="007D4DDD" w:rsidP="007D4DDD">
      <w:pPr>
        <w:pStyle w:val="2"/>
        <w:ind w:firstLine="708"/>
      </w:pPr>
      <w:bookmarkStart w:id="3" w:name="_Toc55815009"/>
      <w:r>
        <w:t xml:space="preserve">2.2 </w:t>
      </w:r>
      <w:r w:rsidR="00550B20">
        <w:t>Changement de modèle (</w:t>
      </w:r>
      <w:r w:rsidR="006F38D7">
        <w:t xml:space="preserve">de </w:t>
      </w:r>
      <w:r w:rsidR="00550B20">
        <w:t>plus de triangles)</w:t>
      </w:r>
      <w:bookmarkEnd w:id="3"/>
    </w:p>
    <w:p w14:paraId="2AB0DA73" w14:textId="3A3BFF4F" w:rsidR="001907DC" w:rsidRPr="001907DC" w:rsidRDefault="001907DC" w:rsidP="001907D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81"/>
        <w:gridCol w:w="5175"/>
      </w:tblGrid>
      <w:tr w:rsidR="006B150F" w14:paraId="102DF5B0" w14:textId="77777777" w:rsidTr="00DD2FDA">
        <w:tc>
          <w:tcPr>
            <w:tcW w:w="10456" w:type="dxa"/>
            <w:gridSpan w:val="2"/>
            <w:shd w:val="clear" w:color="auto" w:fill="FF9999"/>
          </w:tcPr>
          <w:p w14:paraId="31471CF0" w14:textId="14B0C824" w:rsidR="006B150F" w:rsidRDefault="006B150F" w:rsidP="006B150F">
            <w:pPr>
              <w:jc w:val="center"/>
              <w:rPr>
                <w:noProof/>
              </w:rPr>
            </w:pPr>
            <w:r>
              <w:rPr>
                <w:noProof/>
              </w:rPr>
              <w:t>PHONG</w:t>
            </w:r>
          </w:p>
        </w:tc>
      </w:tr>
      <w:tr w:rsidR="00FE74A7" w14:paraId="63217A05" w14:textId="77777777" w:rsidTr="001208BC">
        <w:tc>
          <w:tcPr>
            <w:tcW w:w="5281" w:type="dxa"/>
          </w:tcPr>
          <w:p w14:paraId="051E09FC" w14:textId="2ABE4FDE" w:rsidR="00EB48E7" w:rsidRDefault="00EB48E7" w:rsidP="007D4D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ACD24" wp14:editId="536CC195">
                  <wp:extent cx="3455866" cy="403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553" cy="404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14:paraId="1B2E3BB3" w14:textId="77777777" w:rsidR="004A167B" w:rsidRDefault="004A167B" w:rsidP="004A167B">
            <w:pPr>
              <w:jc w:val="both"/>
              <w:rPr>
                <w:noProof/>
              </w:rPr>
            </w:pPr>
          </w:p>
          <w:p w14:paraId="3B05C07E" w14:textId="57B510ED" w:rsidR="00EB48E7" w:rsidRDefault="00214C01" w:rsidP="004A167B">
            <w:pPr>
              <w:jc w:val="both"/>
              <w:rPr>
                <w:noProof/>
              </w:rPr>
            </w:pPr>
            <w:r>
              <w:rPr>
                <w:noProof/>
              </w:rPr>
              <w:t>J’ai essayé importer le modlèle de utah teapot pour visualiser le changement de effet lumière sur un maillage plus complex (plus de triangles)</w:t>
            </w:r>
            <w:r w:rsidR="00ED0921">
              <w:rPr>
                <w:noProof/>
              </w:rPr>
              <w:t xml:space="preserve">. Donc, quand on est sur le modèle de phong, cela nous donne le résultat comme l’image ci-contre. </w:t>
            </w:r>
          </w:p>
          <w:p w14:paraId="58573833" w14:textId="77777777" w:rsidR="004A167B" w:rsidRDefault="004A167B" w:rsidP="004A167B">
            <w:pPr>
              <w:jc w:val="both"/>
              <w:rPr>
                <w:noProof/>
              </w:rPr>
            </w:pPr>
          </w:p>
          <w:p w14:paraId="6C71C1B7" w14:textId="19D5730C" w:rsidR="006F3A29" w:rsidRDefault="006F3A29" w:rsidP="004A167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On s’aperçoit que le maillage est bien importé et modèle de phong est appliqué correctement. </w:t>
            </w:r>
          </w:p>
        </w:tc>
      </w:tr>
      <w:tr w:rsidR="006B150F" w14:paraId="21E6AFFF" w14:textId="77777777" w:rsidTr="00DD2FDA">
        <w:tc>
          <w:tcPr>
            <w:tcW w:w="10456" w:type="dxa"/>
            <w:gridSpan w:val="2"/>
            <w:shd w:val="clear" w:color="auto" w:fill="FF9999"/>
          </w:tcPr>
          <w:p w14:paraId="1DC822AB" w14:textId="6BD79C74" w:rsidR="006B150F" w:rsidRDefault="006B150F" w:rsidP="006B150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PBR</w:t>
            </w:r>
            <w:r w:rsidR="00FE74A7">
              <w:rPr>
                <w:noProof/>
              </w:rPr>
              <w:t xml:space="preserve"> basique</w:t>
            </w:r>
          </w:p>
        </w:tc>
      </w:tr>
      <w:tr w:rsidR="00FE74A7" w14:paraId="5732BAE3" w14:textId="77777777" w:rsidTr="001208BC">
        <w:tc>
          <w:tcPr>
            <w:tcW w:w="5281" w:type="dxa"/>
          </w:tcPr>
          <w:p w14:paraId="4C9E83F8" w14:textId="0D01221B" w:rsidR="001907DC" w:rsidRDefault="001907DC" w:rsidP="007D4DDD">
            <w:r>
              <w:rPr>
                <w:noProof/>
              </w:rPr>
              <w:drawing>
                <wp:inline distT="0" distB="0" distL="0" distR="0" wp14:anchorId="7F862592" wp14:editId="45C31F3E">
                  <wp:extent cx="3654670" cy="4201160"/>
                  <wp:effectExtent l="0" t="0" r="317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30" cy="422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14:paraId="7839A9C4" w14:textId="505D1B86" w:rsidR="001907DC" w:rsidRDefault="00DD6FCA" w:rsidP="007D4DDD">
            <w:r>
              <w:rPr>
                <w:noProof/>
              </w:rPr>
              <w:drawing>
                <wp:inline distT="0" distB="0" distL="0" distR="0" wp14:anchorId="1EF5C52A" wp14:editId="04914159">
                  <wp:extent cx="3581400" cy="4169624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400" cy="419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4A7" w14:paraId="665C5652" w14:textId="77777777" w:rsidTr="00FE74A7">
        <w:tc>
          <w:tcPr>
            <w:tcW w:w="10456" w:type="dxa"/>
            <w:gridSpan w:val="2"/>
            <w:shd w:val="clear" w:color="auto" w:fill="FF9999"/>
          </w:tcPr>
          <w:p w14:paraId="17BDC5DC" w14:textId="4AD4B0C0" w:rsidR="00FE74A7" w:rsidRDefault="00FE74A7" w:rsidP="00FE74A7">
            <w:pPr>
              <w:jc w:val="center"/>
              <w:rPr>
                <w:noProof/>
              </w:rPr>
            </w:pPr>
            <w:r>
              <w:rPr>
                <w:noProof/>
              </w:rPr>
              <w:t>Amélioration avec Geometry Smith (au lieu d’utiliser Schlick)</w:t>
            </w:r>
          </w:p>
        </w:tc>
      </w:tr>
      <w:tr w:rsidR="00FE74A7" w14:paraId="6A607FD2" w14:textId="77777777" w:rsidTr="001208BC">
        <w:tc>
          <w:tcPr>
            <w:tcW w:w="5281" w:type="dxa"/>
          </w:tcPr>
          <w:p w14:paraId="7F6879FA" w14:textId="3020CA56" w:rsidR="00E355E7" w:rsidRDefault="00FE74A7" w:rsidP="007D4D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F1EB4" wp14:editId="5B959326">
                  <wp:extent cx="3257550" cy="4296679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640" cy="431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14:paraId="661C6521" w14:textId="6B78BBF0" w:rsidR="00E355E7" w:rsidRDefault="00FE74A7" w:rsidP="007D4D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CED469" wp14:editId="286DD4CD">
                  <wp:extent cx="3305175" cy="423566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03" cy="425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4A7" w14:paraId="223DD3DB" w14:textId="77777777" w:rsidTr="001208BC">
        <w:tc>
          <w:tcPr>
            <w:tcW w:w="5281" w:type="dxa"/>
          </w:tcPr>
          <w:p w14:paraId="13149D84" w14:textId="77777777" w:rsidR="00E355E7" w:rsidRDefault="00E355E7" w:rsidP="007D4DDD">
            <w:pPr>
              <w:rPr>
                <w:noProof/>
              </w:rPr>
            </w:pPr>
          </w:p>
        </w:tc>
        <w:tc>
          <w:tcPr>
            <w:tcW w:w="5175" w:type="dxa"/>
          </w:tcPr>
          <w:p w14:paraId="18EB9EF5" w14:textId="77777777" w:rsidR="00E355E7" w:rsidRDefault="00E355E7" w:rsidP="007D4DDD">
            <w:pPr>
              <w:rPr>
                <w:noProof/>
              </w:rPr>
            </w:pPr>
          </w:p>
        </w:tc>
      </w:tr>
      <w:tr w:rsidR="00FE74A7" w14:paraId="7A0D7F20" w14:textId="77777777" w:rsidTr="001208BC">
        <w:tc>
          <w:tcPr>
            <w:tcW w:w="5281" w:type="dxa"/>
          </w:tcPr>
          <w:p w14:paraId="38F52A89" w14:textId="77777777" w:rsidR="00E355E7" w:rsidRDefault="00E355E7" w:rsidP="007D4DDD">
            <w:pPr>
              <w:rPr>
                <w:noProof/>
              </w:rPr>
            </w:pPr>
          </w:p>
        </w:tc>
        <w:tc>
          <w:tcPr>
            <w:tcW w:w="5175" w:type="dxa"/>
          </w:tcPr>
          <w:p w14:paraId="306DA987" w14:textId="77777777" w:rsidR="00E355E7" w:rsidRDefault="00E355E7" w:rsidP="007D4DDD">
            <w:pPr>
              <w:rPr>
                <w:noProof/>
              </w:rPr>
            </w:pPr>
          </w:p>
        </w:tc>
      </w:tr>
    </w:tbl>
    <w:p w14:paraId="336AB573" w14:textId="538CF350" w:rsidR="007D4DDD" w:rsidRDefault="007D4DDD" w:rsidP="007D4DDD"/>
    <w:p w14:paraId="615F2C83" w14:textId="28519E66" w:rsidR="001208BC" w:rsidRDefault="00FE5764" w:rsidP="00441BA8">
      <w:pPr>
        <w:pStyle w:val="2"/>
      </w:pPr>
      <w:r>
        <w:lastRenderedPageBreak/>
        <w:t>2.3 Découvert et application d’un Modèle de PBR</w:t>
      </w:r>
    </w:p>
    <w:p w14:paraId="5E367423" w14:textId="77777777" w:rsidR="00441BA8" w:rsidRPr="00441BA8" w:rsidRDefault="00441BA8" w:rsidP="00441BA8"/>
    <w:p w14:paraId="62CA267C" w14:textId="6A124EAF" w:rsidR="004744B2" w:rsidRDefault="004744B2" w:rsidP="007D4DDD">
      <w:r>
        <w:t>Modèle PBR choisi : Filament</w:t>
      </w:r>
    </w:p>
    <w:p w14:paraId="5B6185F6" w14:textId="3F8CF1DF" w:rsidR="00441BA8" w:rsidRDefault="00441BA8" w:rsidP="007D4DDD"/>
    <w:p w14:paraId="1D27DF7D" w14:textId="1DB59255" w:rsidR="0035330A" w:rsidRDefault="0035330A" w:rsidP="007D4D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84"/>
        <w:gridCol w:w="28"/>
        <w:gridCol w:w="5144"/>
      </w:tblGrid>
      <w:tr w:rsidR="00967934" w14:paraId="30829665" w14:textId="77777777" w:rsidTr="000254C6">
        <w:tc>
          <w:tcPr>
            <w:tcW w:w="5312" w:type="dxa"/>
            <w:gridSpan w:val="2"/>
          </w:tcPr>
          <w:p w14:paraId="04354FEB" w14:textId="77777777" w:rsidR="0035330A" w:rsidRDefault="0035330A" w:rsidP="007D4DDD"/>
        </w:tc>
        <w:tc>
          <w:tcPr>
            <w:tcW w:w="5144" w:type="dxa"/>
          </w:tcPr>
          <w:p w14:paraId="0C479097" w14:textId="77777777" w:rsidR="0035330A" w:rsidRDefault="0035330A" w:rsidP="007D4DDD"/>
        </w:tc>
      </w:tr>
      <w:tr w:rsidR="00967934" w14:paraId="61B9938B" w14:textId="77777777" w:rsidTr="000254C6">
        <w:tc>
          <w:tcPr>
            <w:tcW w:w="5312" w:type="dxa"/>
            <w:gridSpan w:val="2"/>
          </w:tcPr>
          <w:p w14:paraId="1CD07A9C" w14:textId="77777777" w:rsidR="0035330A" w:rsidRDefault="0035330A" w:rsidP="007D4DDD"/>
        </w:tc>
        <w:tc>
          <w:tcPr>
            <w:tcW w:w="5144" w:type="dxa"/>
          </w:tcPr>
          <w:p w14:paraId="04FC64F4" w14:textId="77777777" w:rsidR="0035330A" w:rsidRDefault="0035330A" w:rsidP="007D4DDD"/>
        </w:tc>
      </w:tr>
      <w:tr w:rsidR="00967934" w14:paraId="3D2F87D1" w14:textId="77777777" w:rsidTr="000254C6">
        <w:tc>
          <w:tcPr>
            <w:tcW w:w="5312" w:type="dxa"/>
            <w:gridSpan w:val="2"/>
          </w:tcPr>
          <w:p w14:paraId="275E3076" w14:textId="77777777" w:rsidR="0035330A" w:rsidRDefault="0035330A" w:rsidP="007D4DDD"/>
        </w:tc>
        <w:tc>
          <w:tcPr>
            <w:tcW w:w="5144" w:type="dxa"/>
          </w:tcPr>
          <w:p w14:paraId="6375E719" w14:textId="77777777" w:rsidR="0035330A" w:rsidRDefault="0035330A" w:rsidP="007D4DDD"/>
        </w:tc>
      </w:tr>
      <w:tr w:rsidR="00967934" w14:paraId="1E2F79C1" w14:textId="77777777" w:rsidTr="000254C6">
        <w:tc>
          <w:tcPr>
            <w:tcW w:w="5312" w:type="dxa"/>
            <w:gridSpan w:val="2"/>
          </w:tcPr>
          <w:p w14:paraId="637A3FAE" w14:textId="77777777" w:rsidR="0035330A" w:rsidRDefault="0035330A" w:rsidP="007D4DDD"/>
        </w:tc>
        <w:tc>
          <w:tcPr>
            <w:tcW w:w="5144" w:type="dxa"/>
          </w:tcPr>
          <w:p w14:paraId="63E9DF7C" w14:textId="77777777" w:rsidR="0035330A" w:rsidRDefault="0035330A" w:rsidP="007D4DDD"/>
        </w:tc>
      </w:tr>
      <w:tr w:rsidR="00967934" w14:paraId="5A79B253" w14:textId="77777777" w:rsidTr="000254C6">
        <w:tc>
          <w:tcPr>
            <w:tcW w:w="5312" w:type="dxa"/>
            <w:gridSpan w:val="2"/>
          </w:tcPr>
          <w:p w14:paraId="1E5EB58F" w14:textId="77777777" w:rsidR="0035330A" w:rsidRDefault="0035330A" w:rsidP="007D4DDD"/>
        </w:tc>
        <w:tc>
          <w:tcPr>
            <w:tcW w:w="5144" w:type="dxa"/>
          </w:tcPr>
          <w:p w14:paraId="3267FDA0" w14:textId="77777777" w:rsidR="0035330A" w:rsidRDefault="0035330A" w:rsidP="007D4DDD"/>
        </w:tc>
      </w:tr>
      <w:tr w:rsidR="00967934" w14:paraId="356F67A2" w14:textId="77777777" w:rsidTr="000254C6">
        <w:tc>
          <w:tcPr>
            <w:tcW w:w="5312" w:type="dxa"/>
            <w:gridSpan w:val="2"/>
          </w:tcPr>
          <w:p w14:paraId="09BAF3C5" w14:textId="77777777" w:rsidR="0035330A" w:rsidRDefault="0035330A" w:rsidP="007D4DDD"/>
        </w:tc>
        <w:tc>
          <w:tcPr>
            <w:tcW w:w="5144" w:type="dxa"/>
          </w:tcPr>
          <w:p w14:paraId="64268955" w14:textId="77777777" w:rsidR="0035330A" w:rsidRDefault="0035330A" w:rsidP="007D4DDD"/>
        </w:tc>
      </w:tr>
      <w:tr w:rsidR="00967934" w14:paraId="260F9670" w14:textId="77777777" w:rsidTr="000254C6">
        <w:tc>
          <w:tcPr>
            <w:tcW w:w="5312" w:type="dxa"/>
            <w:gridSpan w:val="2"/>
          </w:tcPr>
          <w:p w14:paraId="0DE77EF5" w14:textId="77777777" w:rsidR="0035330A" w:rsidRDefault="0035330A" w:rsidP="007D4DDD"/>
        </w:tc>
        <w:tc>
          <w:tcPr>
            <w:tcW w:w="5144" w:type="dxa"/>
          </w:tcPr>
          <w:p w14:paraId="04FE2CF6" w14:textId="77777777" w:rsidR="0035330A" w:rsidRDefault="0035330A" w:rsidP="007D4DDD"/>
        </w:tc>
      </w:tr>
      <w:tr w:rsidR="00967934" w14:paraId="16B3D5C7" w14:textId="77777777" w:rsidTr="000254C6">
        <w:tc>
          <w:tcPr>
            <w:tcW w:w="5312" w:type="dxa"/>
            <w:gridSpan w:val="2"/>
          </w:tcPr>
          <w:p w14:paraId="3F0AFB96" w14:textId="77777777" w:rsidR="0035330A" w:rsidRDefault="0035330A" w:rsidP="007D4DDD"/>
        </w:tc>
        <w:tc>
          <w:tcPr>
            <w:tcW w:w="5144" w:type="dxa"/>
          </w:tcPr>
          <w:p w14:paraId="23628C79" w14:textId="77777777" w:rsidR="0035330A" w:rsidRDefault="0035330A" w:rsidP="007D4DDD"/>
        </w:tc>
      </w:tr>
      <w:tr w:rsidR="0035330A" w:rsidRPr="0035330A" w14:paraId="5B43F414" w14:textId="77777777" w:rsidTr="0035330A">
        <w:tc>
          <w:tcPr>
            <w:tcW w:w="10456" w:type="dxa"/>
            <w:gridSpan w:val="3"/>
            <w:shd w:val="clear" w:color="auto" w:fill="002060"/>
          </w:tcPr>
          <w:p w14:paraId="7085E235" w14:textId="52D8E34F" w:rsidR="0035330A" w:rsidRPr="0035330A" w:rsidRDefault="0035330A" w:rsidP="007D4DDD">
            <w:pPr>
              <w:rPr>
                <w:lang w:val="en-US"/>
              </w:rPr>
            </w:pPr>
            <w:r w:rsidRPr="0035330A">
              <w:rPr>
                <w:lang w:val="en-US"/>
              </w:rPr>
              <w:t xml:space="preserve">Clear coat </w:t>
            </w:r>
            <w:proofErr w:type="gramStart"/>
            <w:r w:rsidR="003777CD">
              <w:rPr>
                <w:lang w:val="en-US"/>
              </w:rPr>
              <w:t>model :</w:t>
            </w:r>
            <w:proofErr w:type="gramEnd"/>
            <w:r w:rsidR="003777CD">
              <w:rPr>
                <w:lang w:val="en-US"/>
              </w:rPr>
              <w:t xml:space="preserve"> </w:t>
            </w:r>
            <w:r w:rsidRPr="0035330A">
              <w:rPr>
                <w:lang w:val="en-US"/>
              </w:rPr>
              <w:t>specular BRDF</w:t>
            </w:r>
          </w:p>
        </w:tc>
      </w:tr>
      <w:tr w:rsidR="00CF5C92" w:rsidRPr="00CF5C92" w14:paraId="58A53836" w14:textId="77777777" w:rsidTr="00CF5C92">
        <w:tc>
          <w:tcPr>
            <w:tcW w:w="10456" w:type="dxa"/>
            <w:gridSpan w:val="3"/>
            <w:shd w:val="clear" w:color="auto" w:fill="FFFFFF" w:themeFill="background1"/>
          </w:tcPr>
          <w:p w14:paraId="72EBBC57" w14:textId="6A27B5A4" w:rsidR="00CF5C92" w:rsidRPr="00CF5C92" w:rsidRDefault="00CF5C92" w:rsidP="007D4DDD">
            <w:r w:rsidRPr="00CF5C92">
              <w:t xml:space="preserve">Le BRDF precedent est </w:t>
            </w:r>
            <w:r>
              <w:t>plutôt pour les objets avec des surface isotropique (constitué d’un seul couche.) il y a surement des autres matériaux avec plusieurs couches. Clear Coat est un modèle qui ajoute une couche spéculaire de plus pour présenter les objets plus refléchissants</w:t>
            </w:r>
            <w:r w:rsidR="003B1150">
              <w:t>.</w:t>
            </w:r>
          </w:p>
        </w:tc>
      </w:tr>
      <w:tr w:rsidR="00967934" w:rsidRPr="0035330A" w14:paraId="7800A741" w14:textId="77777777" w:rsidTr="000254C6">
        <w:tc>
          <w:tcPr>
            <w:tcW w:w="5282" w:type="dxa"/>
          </w:tcPr>
          <w:p w14:paraId="06682F88" w14:textId="35B92D19" w:rsidR="0035330A" w:rsidRPr="0035330A" w:rsidRDefault="0035330A" w:rsidP="0035330A">
            <w:pPr>
              <w:rPr>
                <w:lang w:val="en-US"/>
              </w:rPr>
            </w:pPr>
            <w:r>
              <w:rPr>
                <w:lang w:val="en-US"/>
              </w:rPr>
              <w:t xml:space="preserve">Avec </w:t>
            </w:r>
            <w:proofErr w:type="spellStart"/>
            <w:r>
              <w:rPr>
                <w:lang w:val="en-US"/>
              </w:rPr>
              <w:t>GeometrySmith</w:t>
            </w:r>
            <w:proofErr w:type="spellEnd"/>
            <w:r w:rsidR="00322078">
              <w:rPr>
                <w:lang w:val="en-US"/>
              </w:rPr>
              <w:t xml:space="preserve"> (PBR standard)</w:t>
            </w:r>
          </w:p>
        </w:tc>
        <w:tc>
          <w:tcPr>
            <w:tcW w:w="5174" w:type="dxa"/>
            <w:gridSpan w:val="2"/>
          </w:tcPr>
          <w:p w14:paraId="2E0B0662" w14:textId="225A4401" w:rsidR="0035330A" w:rsidRPr="0035330A" w:rsidRDefault="0035330A" w:rsidP="0035330A">
            <w:pPr>
              <w:rPr>
                <w:lang w:val="en-US"/>
              </w:rPr>
            </w:pPr>
            <w:r>
              <w:rPr>
                <w:lang w:val="en-US"/>
              </w:rPr>
              <w:t xml:space="preserve">Avec </w:t>
            </w:r>
            <w:r w:rsidRPr="0035330A">
              <w:rPr>
                <w:lang w:val="en-US"/>
              </w:rPr>
              <w:t>Kelemen visibility function</w:t>
            </w:r>
          </w:p>
        </w:tc>
      </w:tr>
      <w:tr w:rsidR="00CE1DA3" w14:paraId="1E288784" w14:textId="77777777" w:rsidTr="000254C6">
        <w:tc>
          <w:tcPr>
            <w:tcW w:w="5312" w:type="dxa"/>
            <w:gridSpan w:val="2"/>
          </w:tcPr>
          <w:p w14:paraId="58F78199" w14:textId="6F0A42D6" w:rsidR="0035330A" w:rsidRDefault="0035330A" w:rsidP="007D4DDD">
            <w:r>
              <w:rPr>
                <w:noProof/>
              </w:rPr>
              <w:drawing>
                <wp:inline distT="0" distB="0" distL="0" distR="0" wp14:anchorId="77B2F337" wp14:editId="216D4AFB">
                  <wp:extent cx="3175022" cy="421005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122" cy="42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4" w:type="dxa"/>
          </w:tcPr>
          <w:p w14:paraId="2A33BEB9" w14:textId="5CC5DFAD" w:rsidR="0035330A" w:rsidRDefault="0035330A" w:rsidP="007D4DDD">
            <w:r>
              <w:rPr>
                <w:noProof/>
              </w:rPr>
              <w:drawing>
                <wp:inline distT="0" distB="0" distL="0" distR="0" wp14:anchorId="2E22D048" wp14:editId="1FFCC39F">
                  <wp:extent cx="3209925" cy="42941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23" cy="431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C6" w14:paraId="5BC5FA94" w14:textId="77777777" w:rsidTr="00F658F4">
        <w:tc>
          <w:tcPr>
            <w:tcW w:w="10456" w:type="dxa"/>
            <w:gridSpan w:val="3"/>
          </w:tcPr>
          <w:p w14:paraId="07AEE64E" w14:textId="17270505" w:rsidR="000254C6" w:rsidRDefault="000254C6" w:rsidP="007D4DDD">
            <w:pPr>
              <w:rPr>
                <w:noProof/>
              </w:rPr>
            </w:pPr>
            <w:r>
              <w:rPr>
                <w:noProof/>
              </w:rPr>
              <w:t>Selon les images ci-dessus, on voit que avec la fonction visibilité de Kelemen, la couche spéculaire est plus évident, les couleurs sont plus éclairée. Cela pourrait nous aider à réaliser ce modele de clear coat.</w:t>
            </w:r>
          </w:p>
        </w:tc>
      </w:tr>
      <w:tr w:rsidR="00181343" w14:paraId="55AC4963" w14:textId="77777777" w:rsidTr="00181343">
        <w:tc>
          <w:tcPr>
            <w:tcW w:w="10456" w:type="dxa"/>
            <w:gridSpan w:val="3"/>
            <w:shd w:val="clear" w:color="auto" w:fill="002060"/>
          </w:tcPr>
          <w:p w14:paraId="1C49C8E2" w14:textId="6A71F96A" w:rsidR="00181343" w:rsidRDefault="00181343" w:rsidP="00181343">
            <w:pPr>
              <w:jc w:val="center"/>
            </w:pPr>
            <w:r>
              <w:t>Amélioration en recalculant et en ajoutant la couche spéculaire</w:t>
            </w:r>
          </w:p>
        </w:tc>
      </w:tr>
      <w:tr w:rsidR="00CE1DA3" w14:paraId="2C681647" w14:textId="77777777" w:rsidTr="000254C6">
        <w:tc>
          <w:tcPr>
            <w:tcW w:w="5312" w:type="dxa"/>
            <w:gridSpan w:val="2"/>
          </w:tcPr>
          <w:p w14:paraId="4D883926" w14:textId="229816A4" w:rsidR="0035330A" w:rsidRDefault="00181343" w:rsidP="007D4DDD">
            <w:r>
              <w:rPr>
                <w:noProof/>
              </w:rPr>
              <w:lastRenderedPageBreak/>
              <w:drawing>
                <wp:inline distT="0" distB="0" distL="0" distR="0" wp14:anchorId="3FA94E45" wp14:editId="10299DB0">
                  <wp:extent cx="3315643" cy="40195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76" cy="40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4" w:type="dxa"/>
          </w:tcPr>
          <w:p w14:paraId="7E054D01" w14:textId="7C1248F4" w:rsidR="00E847BA" w:rsidRDefault="00635D16" w:rsidP="007D4DDD">
            <w:r>
              <w:rPr>
                <w:noProof/>
              </w:rPr>
              <w:drawing>
                <wp:inline distT="0" distB="0" distL="0" distR="0" wp14:anchorId="52CF24C1" wp14:editId="6FC1E244">
                  <wp:extent cx="3143250" cy="38862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DA3" w14:paraId="32B1B22E" w14:textId="77777777" w:rsidTr="000254C6">
        <w:tc>
          <w:tcPr>
            <w:tcW w:w="5312" w:type="dxa"/>
            <w:gridSpan w:val="2"/>
          </w:tcPr>
          <w:p w14:paraId="302B5F76" w14:textId="114D0A36" w:rsidR="0035330A" w:rsidRDefault="001000E0" w:rsidP="007D4DDD">
            <w:r>
              <w:t>On constate que les parties réfléchissantes sont les mêmes (par rapport à PBR standard). Mais sur l’image, on s’aperçoit que les couleurs des parties diffuses et surtout celles de spéculaires sont renforcées. Cela rend le théière plus réfléchissant.</w:t>
            </w:r>
          </w:p>
        </w:tc>
        <w:tc>
          <w:tcPr>
            <w:tcW w:w="5144" w:type="dxa"/>
          </w:tcPr>
          <w:p w14:paraId="0AF9F827" w14:textId="440DF3B9" w:rsidR="0035330A" w:rsidRDefault="00967934" w:rsidP="007D4DDD">
            <w:r>
              <w:t>Re – appliquer tonemapping et gamma-correction</w:t>
            </w:r>
          </w:p>
        </w:tc>
      </w:tr>
      <w:tr w:rsidR="00CE1DA3" w14:paraId="38521D29" w14:textId="77777777" w:rsidTr="000254C6">
        <w:tc>
          <w:tcPr>
            <w:tcW w:w="5312" w:type="dxa"/>
            <w:gridSpan w:val="2"/>
          </w:tcPr>
          <w:p w14:paraId="660D6986" w14:textId="2E1BC84F" w:rsidR="0035330A" w:rsidRDefault="00CE1DA3" w:rsidP="007D4DDD">
            <w:r>
              <w:rPr>
                <w:noProof/>
              </w:rPr>
              <w:drawing>
                <wp:inline distT="0" distB="0" distL="0" distR="0" wp14:anchorId="7AE04727" wp14:editId="71C8272B">
                  <wp:extent cx="3226001" cy="397192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852" cy="399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4" w:type="dxa"/>
          </w:tcPr>
          <w:p w14:paraId="2B961937" w14:textId="77777777" w:rsidR="0035330A" w:rsidRDefault="0035330A" w:rsidP="007D4DDD"/>
        </w:tc>
      </w:tr>
      <w:tr w:rsidR="00CE1DA3" w14:paraId="3A94B153" w14:textId="77777777" w:rsidTr="000254C6">
        <w:tc>
          <w:tcPr>
            <w:tcW w:w="5312" w:type="dxa"/>
            <w:gridSpan w:val="2"/>
          </w:tcPr>
          <w:p w14:paraId="413580FE" w14:textId="77777777" w:rsidR="0035330A" w:rsidRDefault="0035330A" w:rsidP="007D4DDD"/>
        </w:tc>
        <w:tc>
          <w:tcPr>
            <w:tcW w:w="5144" w:type="dxa"/>
          </w:tcPr>
          <w:p w14:paraId="3CA2549C" w14:textId="77777777" w:rsidR="0035330A" w:rsidRDefault="0035330A" w:rsidP="007D4DDD"/>
        </w:tc>
      </w:tr>
      <w:tr w:rsidR="00CE1DA3" w14:paraId="156D288D" w14:textId="77777777" w:rsidTr="000254C6">
        <w:tc>
          <w:tcPr>
            <w:tcW w:w="5312" w:type="dxa"/>
            <w:gridSpan w:val="2"/>
          </w:tcPr>
          <w:p w14:paraId="75639005" w14:textId="77777777" w:rsidR="0035330A" w:rsidRDefault="0035330A" w:rsidP="007D4DDD"/>
        </w:tc>
        <w:tc>
          <w:tcPr>
            <w:tcW w:w="5144" w:type="dxa"/>
          </w:tcPr>
          <w:p w14:paraId="07990BFA" w14:textId="77777777" w:rsidR="0035330A" w:rsidRDefault="0035330A" w:rsidP="007D4DDD"/>
        </w:tc>
      </w:tr>
    </w:tbl>
    <w:p w14:paraId="59BB8B23" w14:textId="77777777" w:rsidR="0035330A" w:rsidRDefault="0035330A" w:rsidP="007D4DDD"/>
    <w:p w14:paraId="338D6D8B" w14:textId="2693A2BF" w:rsidR="00EE71FA" w:rsidRPr="007D4DDD" w:rsidRDefault="00EE71FA" w:rsidP="007D4DDD"/>
    <w:sectPr w:rsidR="00EE71FA" w:rsidRPr="007D4DDD" w:rsidSect="002E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770"/>
    <w:multiLevelType w:val="hybridMultilevel"/>
    <w:tmpl w:val="7F7E8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68D"/>
    <w:multiLevelType w:val="hybridMultilevel"/>
    <w:tmpl w:val="5FFA86D0"/>
    <w:lvl w:ilvl="0" w:tplc="6CB00940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4E4DC9"/>
    <w:multiLevelType w:val="hybridMultilevel"/>
    <w:tmpl w:val="F6D27EC6"/>
    <w:lvl w:ilvl="0" w:tplc="9A5AF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E0B36"/>
    <w:multiLevelType w:val="hybridMultilevel"/>
    <w:tmpl w:val="38A0B0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360B6"/>
    <w:multiLevelType w:val="multilevel"/>
    <w:tmpl w:val="7706B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2F53C1"/>
    <w:multiLevelType w:val="hybridMultilevel"/>
    <w:tmpl w:val="15745A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AFF"/>
    <w:multiLevelType w:val="hybridMultilevel"/>
    <w:tmpl w:val="0F6AAF4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7400C3"/>
    <w:multiLevelType w:val="hybridMultilevel"/>
    <w:tmpl w:val="3FCE4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9087E"/>
    <w:multiLevelType w:val="hybridMultilevel"/>
    <w:tmpl w:val="399ED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54DE"/>
    <w:multiLevelType w:val="hybridMultilevel"/>
    <w:tmpl w:val="8A60EC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6898"/>
    <w:multiLevelType w:val="hybridMultilevel"/>
    <w:tmpl w:val="9DCE7E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5AFC"/>
    <w:multiLevelType w:val="hybridMultilevel"/>
    <w:tmpl w:val="DD0A74A8"/>
    <w:lvl w:ilvl="0" w:tplc="052A79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B651AD"/>
    <w:multiLevelType w:val="hybridMultilevel"/>
    <w:tmpl w:val="8ECA5B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938DA"/>
    <w:multiLevelType w:val="hybridMultilevel"/>
    <w:tmpl w:val="0FD0FB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2"/>
    <w:rsid w:val="00000BBF"/>
    <w:rsid w:val="00002BCD"/>
    <w:rsid w:val="000065F7"/>
    <w:rsid w:val="000146A5"/>
    <w:rsid w:val="00015868"/>
    <w:rsid w:val="000254C6"/>
    <w:rsid w:val="00043610"/>
    <w:rsid w:val="0004367C"/>
    <w:rsid w:val="00043913"/>
    <w:rsid w:val="0006404C"/>
    <w:rsid w:val="00065F45"/>
    <w:rsid w:val="00072134"/>
    <w:rsid w:val="000747E4"/>
    <w:rsid w:val="00086D4E"/>
    <w:rsid w:val="000915EC"/>
    <w:rsid w:val="00096ACE"/>
    <w:rsid w:val="000B6CBD"/>
    <w:rsid w:val="000C24E4"/>
    <w:rsid w:val="000D224E"/>
    <w:rsid w:val="001000E0"/>
    <w:rsid w:val="00101793"/>
    <w:rsid w:val="001208BC"/>
    <w:rsid w:val="0013551D"/>
    <w:rsid w:val="00137275"/>
    <w:rsid w:val="00141CBA"/>
    <w:rsid w:val="00175095"/>
    <w:rsid w:val="00181343"/>
    <w:rsid w:val="0018633F"/>
    <w:rsid w:val="00187F5B"/>
    <w:rsid w:val="001907DC"/>
    <w:rsid w:val="001A4268"/>
    <w:rsid w:val="00206997"/>
    <w:rsid w:val="002079DA"/>
    <w:rsid w:val="00207E43"/>
    <w:rsid w:val="00214C01"/>
    <w:rsid w:val="0021565C"/>
    <w:rsid w:val="0022178F"/>
    <w:rsid w:val="00226B36"/>
    <w:rsid w:val="00263133"/>
    <w:rsid w:val="00265CA4"/>
    <w:rsid w:val="0027392C"/>
    <w:rsid w:val="00290A34"/>
    <w:rsid w:val="002A5C2A"/>
    <w:rsid w:val="002B76BD"/>
    <w:rsid w:val="002C2502"/>
    <w:rsid w:val="002C3B81"/>
    <w:rsid w:val="002E2CD7"/>
    <w:rsid w:val="002F1170"/>
    <w:rsid w:val="00322078"/>
    <w:rsid w:val="00326E3D"/>
    <w:rsid w:val="00340E96"/>
    <w:rsid w:val="0035330A"/>
    <w:rsid w:val="00354290"/>
    <w:rsid w:val="00367AD4"/>
    <w:rsid w:val="003777CD"/>
    <w:rsid w:val="003843EF"/>
    <w:rsid w:val="003A24CB"/>
    <w:rsid w:val="003A66D1"/>
    <w:rsid w:val="003B1150"/>
    <w:rsid w:val="003C0E84"/>
    <w:rsid w:val="003D39DF"/>
    <w:rsid w:val="00404668"/>
    <w:rsid w:val="00417906"/>
    <w:rsid w:val="004346F0"/>
    <w:rsid w:val="00441BA8"/>
    <w:rsid w:val="00447D9B"/>
    <w:rsid w:val="00472D98"/>
    <w:rsid w:val="00473F32"/>
    <w:rsid w:val="00474222"/>
    <w:rsid w:val="004744B2"/>
    <w:rsid w:val="00474877"/>
    <w:rsid w:val="004A167B"/>
    <w:rsid w:val="004A48A1"/>
    <w:rsid w:val="004D503E"/>
    <w:rsid w:val="004D50AB"/>
    <w:rsid w:val="004E5ED8"/>
    <w:rsid w:val="004E6239"/>
    <w:rsid w:val="004F663F"/>
    <w:rsid w:val="00550B20"/>
    <w:rsid w:val="00552CEA"/>
    <w:rsid w:val="0059431E"/>
    <w:rsid w:val="005C054A"/>
    <w:rsid w:val="005F3DEC"/>
    <w:rsid w:val="00610A08"/>
    <w:rsid w:val="006246F8"/>
    <w:rsid w:val="00626239"/>
    <w:rsid w:val="00635D16"/>
    <w:rsid w:val="00641522"/>
    <w:rsid w:val="00650672"/>
    <w:rsid w:val="006648CA"/>
    <w:rsid w:val="00683E2B"/>
    <w:rsid w:val="00691958"/>
    <w:rsid w:val="00692004"/>
    <w:rsid w:val="00697232"/>
    <w:rsid w:val="006A5AF4"/>
    <w:rsid w:val="006B150F"/>
    <w:rsid w:val="006C0406"/>
    <w:rsid w:val="006C7F8C"/>
    <w:rsid w:val="006D2BD6"/>
    <w:rsid w:val="006E3369"/>
    <w:rsid w:val="006F38D7"/>
    <w:rsid w:val="006F3A29"/>
    <w:rsid w:val="0070127A"/>
    <w:rsid w:val="00766E16"/>
    <w:rsid w:val="00770C48"/>
    <w:rsid w:val="007813F0"/>
    <w:rsid w:val="007858B0"/>
    <w:rsid w:val="0078652D"/>
    <w:rsid w:val="007B700C"/>
    <w:rsid w:val="007C0A0B"/>
    <w:rsid w:val="007D3775"/>
    <w:rsid w:val="007D4DDD"/>
    <w:rsid w:val="007E6F89"/>
    <w:rsid w:val="007F4F80"/>
    <w:rsid w:val="00813812"/>
    <w:rsid w:val="00815725"/>
    <w:rsid w:val="00821F39"/>
    <w:rsid w:val="00850105"/>
    <w:rsid w:val="0089676D"/>
    <w:rsid w:val="00896FDB"/>
    <w:rsid w:val="008C1B94"/>
    <w:rsid w:val="008C68A4"/>
    <w:rsid w:val="008F6888"/>
    <w:rsid w:val="00900A00"/>
    <w:rsid w:val="00905247"/>
    <w:rsid w:val="009075A3"/>
    <w:rsid w:val="00915EB2"/>
    <w:rsid w:val="009216C6"/>
    <w:rsid w:val="00923836"/>
    <w:rsid w:val="00925220"/>
    <w:rsid w:val="00926698"/>
    <w:rsid w:val="00946433"/>
    <w:rsid w:val="00967934"/>
    <w:rsid w:val="009807DD"/>
    <w:rsid w:val="00984B38"/>
    <w:rsid w:val="00993BB5"/>
    <w:rsid w:val="009A5D86"/>
    <w:rsid w:val="009A75B2"/>
    <w:rsid w:val="009A7FDC"/>
    <w:rsid w:val="009D26AE"/>
    <w:rsid w:val="009E2111"/>
    <w:rsid w:val="009F0419"/>
    <w:rsid w:val="00A26B90"/>
    <w:rsid w:val="00A4338C"/>
    <w:rsid w:val="00A45D4B"/>
    <w:rsid w:val="00A479C6"/>
    <w:rsid w:val="00A479CE"/>
    <w:rsid w:val="00A56F6F"/>
    <w:rsid w:val="00A60A0E"/>
    <w:rsid w:val="00A60B74"/>
    <w:rsid w:val="00A6529D"/>
    <w:rsid w:val="00A838E0"/>
    <w:rsid w:val="00A84AD5"/>
    <w:rsid w:val="00A8738F"/>
    <w:rsid w:val="00AD3558"/>
    <w:rsid w:val="00AF48B2"/>
    <w:rsid w:val="00AF6E48"/>
    <w:rsid w:val="00B070F1"/>
    <w:rsid w:val="00B1303A"/>
    <w:rsid w:val="00B5354B"/>
    <w:rsid w:val="00B5448A"/>
    <w:rsid w:val="00B75884"/>
    <w:rsid w:val="00B7642D"/>
    <w:rsid w:val="00B924DE"/>
    <w:rsid w:val="00BA2704"/>
    <w:rsid w:val="00BB6DE4"/>
    <w:rsid w:val="00BC2B29"/>
    <w:rsid w:val="00BC3A61"/>
    <w:rsid w:val="00BC5D6F"/>
    <w:rsid w:val="00C00DC8"/>
    <w:rsid w:val="00C17560"/>
    <w:rsid w:val="00C249C3"/>
    <w:rsid w:val="00C268CC"/>
    <w:rsid w:val="00C26BBB"/>
    <w:rsid w:val="00C37461"/>
    <w:rsid w:val="00C403C7"/>
    <w:rsid w:val="00C44EB7"/>
    <w:rsid w:val="00C53805"/>
    <w:rsid w:val="00C56567"/>
    <w:rsid w:val="00C60FDC"/>
    <w:rsid w:val="00C755F0"/>
    <w:rsid w:val="00C87450"/>
    <w:rsid w:val="00CB3960"/>
    <w:rsid w:val="00CB5E00"/>
    <w:rsid w:val="00CC584E"/>
    <w:rsid w:val="00CC5E9B"/>
    <w:rsid w:val="00CC72E0"/>
    <w:rsid w:val="00CD03DB"/>
    <w:rsid w:val="00CD795E"/>
    <w:rsid w:val="00CE1DA3"/>
    <w:rsid w:val="00CF5C92"/>
    <w:rsid w:val="00CF6C47"/>
    <w:rsid w:val="00D0521C"/>
    <w:rsid w:val="00D057A9"/>
    <w:rsid w:val="00D14471"/>
    <w:rsid w:val="00D31216"/>
    <w:rsid w:val="00D31D77"/>
    <w:rsid w:val="00D44E7D"/>
    <w:rsid w:val="00D47D9B"/>
    <w:rsid w:val="00D527E4"/>
    <w:rsid w:val="00D66695"/>
    <w:rsid w:val="00D77D5E"/>
    <w:rsid w:val="00D87B9D"/>
    <w:rsid w:val="00D907A4"/>
    <w:rsid w:val="00D92549"/>
    <w:rsid w:val="00D93D98"/>
    <w:rsid w:val="00D97D2D"/>
    <w:rsid w:val="00DA1FAF"/>
    <w:rsid w:val="00DD2FDA"/>
    <w:rsid w:val="00DD591F"/>
    <w:rsid w:val="00DD6FCA"/>
    <w:rsid w:val="00DD7785"/>
    <w:rsid w:val="00E111ED"/>
    <w:rsid w:val="00E1225C"/>
    <w:rsid w:val="00E17FAD"/>
    <w:rsid w:val="00E355E7"/>
    <w:rsid w:val="00E47954"/>
    <w:rsid w:val="00E50B02"/>
    <w:rsid w:val="00E5163C"/>
    <w:rsid w:val="00E67984"/>
    <w:rsid w:val="00E72776"/>
    <w:rsid w:val="00E808A3"/>
    <w:rsid w:val="00E836FA"/>
    <w:rsid w:val="00E847BA"/>
    <w:rsid w:val="00E93FF1"/>
    <w:rsid w:val="00E9764E"/>
    <w:rsid w:val="00EB45D3"/>
    <w:rsid w:val="00EB48E7"/>
    <w:rsid w:val="00ED0921"/>
    <w:rsid w:val="00EE3B19"/>
    <w:rsid w:val="00EE71FA"/>
    <w:rsid w:val="00EF2368"/>
    <w:rsid w:val="00F02B2E"/>
    <w:rsid w:val="00F159AD"/>
    <w:rsid w:val="00F21373"/>
    <w:rsid w:val="00F240C2"/>
    <w:rsid w:val="00F339B2"/>
    <w:rsid w:val="00F57F88"/>
    <w:rsid w:val="00F66EDB"/>
    <w:rsid w:val="00F76D57"/>
    <w:rsid w:val="00F8705E"/>
    <w:rsid w:val="00FA09D3"/>
    <w:rsid w:val="00FA6F37"/>
    <w:rsid w:val="00FC1908"/>
    <w:rsid w:val="00FC3B85"/>
    <w:rsid w:val="00FC63C0"/>
    <w:rsid w:val="00FD0A88"/>
    <w:rsid w:val="00FD793F"/>
    <w:rsid w:val="00FE439B"/>
    <w:rsid w:val="00FE5764"/>
    <w:rsid w:val="00FE5D8E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F315"/>
  <w15:chartTrackingRefBased/>
  <w15:docId w15:val="{946B5E99-7062-4434-AF2F-4EBEA9A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66695"/>
    <w:pPr>
      <w:suppressAutoHyphens/>
      <w:autoSpaceDN w:val="0"/>
      <w:spacing w:line="256" w:lineRule="auto"/>
      <w:textAlignment w:val="baseline"/>
    </w:pPr>
    <w:rPr>
      <w:rFonts w:ascii="Calibri" w:eastAsia="DengXian" w:hAnsi="Calibri" w:cs="DejaVu Sans"/>
    </w:rPr>
  </w:style>
  <w:style w:type="character" w:customStyle="1" w:styleId="10">
    <w:name w:val="标题 1 字符"/>
    <w:basedOn w:val="a0"/>
    <w:link w:val="1"/>
    <w:uiPriority w:val="9"/>
    <w:rsid w:val="00F2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37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137275"/>
    <w:pPr>
      <w:tabs>
        <w:tab w:val="left" w:pos="440"/>
        <w:tab w:val="right" w:leader="dot" w:pos="9062"/>
      </w:tabs>
      <w:spacing w:after="100"/>
    </w:pPr>
  </w:style>
  <w:style w:type="character" w:styleId="a4">
    <w:name w:val="Hyperlink"/>
    <w:basedOn w:val="a0"/>
    <w:uiPriority w:val="99"/>
    <w:unhideWhenUsed/>
    <w:rsid w:val="006C7F8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211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F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F6C47"/>
    <w:pPr>
      <w:spacing w:after="100"/>
      <w:ind w:left="220"/>
    </w:pPr>
  </w:style>
  <w:style w:type="paragraph" w:styleId="a6">
    <w:name w:val="No Spacing"/>
    <w:uiPriority w:val="1"/>
    <w:qFormat/>
    <w:rsid w:val="007813F0"/>
    <w:pPr>
      <w:spacing w:after="0" w:line="240" w:lineRule="auto"/>
    </w:pPr>
  </w:style>
  <w:style w:type="table" w:styleId="a7">
    <w:name w:val="Table Grid"/>
    <w:basedOn w:val="a1"/>
    <w:uiPriority w:val="39"/>
    <w:rsid w:val="0078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A45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6E3369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0915EC"/>
    <w:pPr>
      <w:spacing w:after="100"/>
      <w:ind w:left="440"/>
    </w:pPr>
  </w:style>
  <w:style w:type="table" w:styleId="4-1">
    <w:name w:val="Grid Table 4 Accent 1"/>
    <w:basedOn w:val="a1"/>
    <w:uiPriority w:val="49"/>
    <w:rsid w:val="005C05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5C8-D1E3-4D24-8D2F-F26F1A1B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410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47</cp:revision>
  <cp:lastPrinted>2020-10-13T14:05:00Z</cp:lastPrinted>
  <dcterms:created xsi:type="dcterms:W3CDTF">2020-11-09T10:45:00Z</dcterms:created>
  <dcterms:modified xsi:type="dcterms:W3CDTF">2020-11-09T17:24:00Z</dcterms:modified>
</cp:coreProperties>
</file>