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 政 处 罚 决 定 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宋体"/>
          <w:sz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罚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ascii="宋体"/>
          <w:sz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7" o:spt="20" style="position:absolute;left:0pt;margin-left:-11.65pt;margin-top:3.85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被处罚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违法事实: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以上事实</w:t>
      </w:r>
      <w:r>
        <w:rPr>
          <w:rFonts w:hint="eastAsia" w:ascii="仿宋" w:hAnsi="仿宋" w:eastAsia="仿宋"/>
          <w:sz w:val="24"/>
          <w:lang w:val="en-US" w:eastAsia="zh-CN"/>
        </w:rPr>
        <w:t>{cellIdx2</w:t>
      </w:r>
      <w:bookmarkStart w:id="0" w:name="_GoBack"/>
      <w:bookmarkEnd w:id="0"/>
      <w:r>
        <w:rPr>
          <w:rFonts w:hint="eastAsia" w:ascii="仿宋" w:hAnsi="仿宋" w:eastAsia="仿宋"/>
          <w:sz w:val="24"/>
          <w:lang w:val="en-US" w:eastAsia="zh-CN"/>
        </w:rPr>
        <w:t>2}违反了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的规定，决定给予以下行政处罚：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接到本处罚决定书之日起15日内将罚款缴至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。到期不缴纳罚款的，每日按罚款数额的百分之三加处罚款。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/>
        <w:textAlignment w:val="auto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/>
          <w:sz w:val="24"/>
        </w:rPr>
        <w:t>如对本处罚决定不服，可在接到本决定书之日起60日内向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法院提起行政诉讼，但不停止执行本决定。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right="630" w:rightChars="300" w:firstLine="2400" w:firstLineChars="1000"/>
        <w:jc w:val="right"/>
        <w:textAlignment w:val="auto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right="630" w:rightChars="300" w:firstLine="2400" w:firstLineChars="1000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417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备注：本文书一式三份，一份交被处罚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，一份交银行，一份存档。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6A8F"/>
    <w:rsid w:val="000C0C8A"/>
    <w:rsid w:val="000E0651"/>
    <w:rsid w:val="000F32FA"/>
    <w:rsid w:val="0012551E"/>
    <w:rsid w:val="001415E8"/>
    <w:rsid w:val="00146C72"/>
    <w:rsid w:val="00172A27"/>
    <w:rsid w:val="00187571"/>
    <w:rsid w:val="001B3074"/>
    <w:rsid w:val="001C3525"/>
    <w:rsid w:val="001D0B9B"/>
    <w:rsid w:val="002019AB"/>
    <w:rsid w:val="002058DF"/>
    <w:rsid w:val="0021494C"/>
    <w:rsid w:val="00220109"/>
    <w:rsid w:val="00246EAA"/>
    <w:rsid w:val="00262997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D1EE6"/>
    <w:rsid w:val="00532291"/>
    <w:rsid w:val="00536306"/>
    <w:rsid w:val="005627D7"/>
    <w:rsid w:val="0056767E"/>
    <w:rsid w:val="00576B6C"/>
    <w:rsid w:val="005C6B46"/>
    <w:rsid w:val="00623B7E"/>
    <w:rsid w:val="006A61CB"/>
    <w:rsid w:val="006B7F2D"/>
    <w:rsid w:val="00755A6F"/>
    <w:rsid w:val="0077201D"/>
    <w:rsid w:val="007C26A2"/>
    <w:rsid w:val="007C38E4"/>
    <w:rsid w:val="007D3F17"/>
    <w:rsid w:val="00821516"/>
    <w:rsid w:val="008347D4"/>
    <w:rsid w:val="00847AC7"/>
    <w:rsid w:val="00896557"/>
    <w:rsid w:val="008D3DAD"/>
    <w:rsid w:val="008D7396"/>
    <w:rsid w:val="008F0B3E"/>
    <w:rsid w:val="00925137"/>
    <w:rsid w:val="00986FE7"/>
    <w:rsid w:val="009A6CC1"/>
    <w:rsid w:val="009C17D1"/>
    <w:rsid w:val="00A43464"/>
    <w:rsid w:val="00A72380"/>
    <w:rsid w:val="00A95D79"/>
    <w:rsid w:val="00B24027"/>
    <w:rsid w:val="00B27882"/>
    <w:rsid w:val="00B50B7C"/>
    <w:rsid w:val="00B51A71"/>
    <w:rsid w:val="00BB33EA"/>
    <w:rsid w:val="00C036F8"/>
    <w:rsid w:val="00C35D05"/>
    <w:rsid w:val="00C86F9A"/>
    <w:rsid w:val="00CB216A"/>
    <w:rsid w:val="00D004B1"/>
    <w:rsid w:val="00D3054E"/>
    <w:rsid w:val="00D40A92"/>
    <w:rsid w:val="00D77CF5"/>
    <w:rsid w:val="00DB53E5"/>
    <w:rsid w:val="00DC0665"/>
    <w:rsid w:val="00DF009F"/>
    <w:rsid w:val="00E01426"/>
    <w:rsid w:val="00E01CE7"/>
    <w:rsid w:val="00E1116E"/>
    <w:rsid w:val="00E715E5"/>
    <w:rsid w:val="00E77111"/>
    <w:rsid w:val="00E90514"/>
    <w:rsid w:val="00EC24C3"/>
    <w:rsid w:val="00F22945"/>
    <w:rsid w:val="00F315F7"/>
    <w:rsid w:val="00F832B1"/>
    <w:rsid w:val="00F87772"/>
    <w:rsid w:val="00FB15A5"/>
    <w:rsid w:val="00FE54FC"/>
    <w:rsid w:val="03E7743D"/>
    <w:rsid w:val="0C2B3DBD"/>
    <w:rsid w:val="160D098B"/>
    <w:rsid w:val="207F5410"/>
    <w:rsid w:val="27D5453D"/>
    <w:rsid w:val="2E1F2305"/>
    <w:rsid w:val="2E4373BF"/>
    <w:rsid w:val="32724257"/>
    <w:rsid w:val="3CAF2DC9"/>
    <w:rsid w:val="3EF60BCA"/>
    <w:rsid w:val="40D50ECB"/>
    <w:rsid w:val="51BE5072"/>
    <w:rsid w:val="53AA63A5"/>
    <w:rsid w:val="57C04806"/>
    <w:rsid w:val="585321C0"/>
    <w:rsid w:val="5DB35D3F"/>
    <w:rsid w:val="5FE741B2"/>
    <w:rsid w:val="61B64403"/>
    <w:rsid w:val="6731154B"/>
    <w:rsid w:val="69243069"/>
    <w:rsid w:val="70F6193C"/>
    <w:rsid w:val="76F20B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267D2-FA2B-470E-B811-5F834ADC9C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104</Words>
  <Characters>595</Characters>
  <Lines>4</Lines>
  <Paragraphs>1</Paragraphs>
  <TotalTime>0</TotalTime>
  <ScaleCrop>false</ScaleCrop>
  <LinksUpToDate>false</LinksUpToDate>
  <CharactersWithSpaces>698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2022-01-09T16:42:54Z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9AA3E4541F9E44D2B1B04CD76E2669BA</vt:lpwstr>
  </property>
</Properties>
</file>