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non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</w:t>
      </w:r>
      <w:r>
        <w:rPr>
          <w:rFonts w:hint="eastAsia" w:ascii="仿宋" w:hAnsi="仿宋" w:eastAsia="仿宋"/>
          <w:kern w:val="0"/>
          <w:sz w:val="24"/>
          <w:u w:val="single"/>
        </w:rPr>
        <w:t>六十二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>四</w:t>
      </w:r>
      <w:r>
        <w:rPr>
          <w:rFonts w:hint="eastAsia" w:ascii="仿宋" w:hAnsi="仿宋" w:eastAsia="仿宋"/>
          <w:kern w:val="0"/>
          <w:sz w:val="24"/>
        </w:rPr>
        <w:t>项和《中华人民共和国行政强制法》第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二十四</w:t>
      </w:r>
      <w:r>
        <w:rPr>
          <w:rFonts w:hint="eastAsia" w:ascii="仿宋" w:hAnsi="仿宋" w:eastAsia="仿宋"/>
          <w:kern w:val="0"/>
          <w:sz w:val="24"/>
        </w:rPr>
        <w:t>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E264380"/>
    <w:rsid w:val="23B853F0"/>
    <w:rsid w:val="23C305F1"/>
    <w:rsid w:val="27B166DA"/>
    <w:rsid w:val="291D3441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5816732"/>
    <w:rsid w:val="6B4F4B6A"/>
    <w:rsid w:val="6BFF2C84"/>
    <w:rsid w:val="6C7A190E"/>
    <w:rsid w:val="715E410F"/>
    <w:rsid w:val="781928F1"/>
    <w:rsid w:val="79087FC9"/>
    <w:rsid w:val="796945D1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10</TotalTime>
  <ScaleCrop>false</ScaleCrop>
  <LinksUpToDate>false</LinksUpToDate>
  <CharactersWithSpaces>940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2022-01-11T11:36:12Z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9468C1795C364B23A16C2EA2C3B02753</vt:lpwstr>
  </property>
</Properties>
</file>