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29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</w:p>
    <w:bookmarkEnd w:id="0"/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煤安催缴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日作出《行政处罚决定书》（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仿宋"/>
          <w:sz w:val="24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</w:rPr>
        <w:t>号），要求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default" w:ascii="仿宋" w:hAnsi="仿宋" w:eastAsia="仿宋" w:cs="仿宋"/>
          <w:sz w:val="24"/>
          <w:lang w:val="en-US" w:eastAsia="zh-CN"/>
        </w:rPr>
        <w:t>。因你单位逾期未履行该处罚决定，依据《中华人民共和国行政强制法》第三十五条规定，现催告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履行以上决定，本机关将依据《中华人民共和国行政处罚法》第七十二条第一款第一项规定，每日按罚款数额的3%加处罚款。</w:t>
      </w:r>
    </w:p>
    <w:p>
      <w:pPr>
        <w:widowControl/>
        <w:spacing w:line="600" w:lineRule="exact"/>
        <w:ind w:firstLine="480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如有异议，依据《中华人民共和国行政强制法》第三十六条规定，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{cellIdx18}</w:t>
      </w:r>
      <w:r>
        <w:rPr>
          <w:rFonts w:hint="default" w:ascii="仿宋" w:hAnsi="仿宋" w:eastAsia="仿宋" w:cs="仿宋"/>
          <w:sz w:val="24"/>
          <w:lang w:val="en-US" w:eastAsia="zh-CN"/>
        </w:rPr>
        <w:t>有权在收到本催告书之日起3日内向本机关提出陈述和申辩，逾期未提出的，视为放弃此权利。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{cellIdx19}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{cellIdx21}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{cellIdx23}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</w:p>
    <w:p>
      <w:pPr>
        <w:pStyle w:val="2"/>
      </w:pP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{cellIdx25}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{cellIdx26}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单位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84C5B03"/>
    <w:rsid w:val="2E9C1A04"/>
    <w:rsid w:val="2F997CB1"/>
    <w:rsid w:val="37F518C7"/>
    <w:rsid w:val="45551C5A"/>
    <w:rsid w:val="4F7E23B9"/>
    <w:rsid w:val="51FF2000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2021-10-19T09:17:10Z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