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255895" cy="0"/>
                <wp:effectExtent l="0" t="19050" r="190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pt;margin-top:3.55pt;height:0pt;width:413.85pt;z-index:251660288;mso-width-relative:page;mso-height-relative:page;" filled="f" stroked="t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4uZK1QAAAAYBAAAPAAAAAAAAAAEAIAAAACIAAABkcnMvZG93bnJldi54&#10;bWxQSwECFAAUAAAACACHTuJA3iUYrf0BAAD3AwAADgAAAAAAAAABACAAAAAkAQAAZHJzL2Uyb0Rv&#10;Yy54bWxQSwUGAAAAAAYABgBZAQAAk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加处罚款决定书</w:t>
      </w:r>
    </w:p>
    <w:p>
      <w:pPr>
        <w:spacing w:line="560" w:lineRule="exact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</w:rPr>
        <w:t>加罚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hint="eastAsia" w:cs="仿宋" w:asciiTheme="minorEastAsia" w:hAnsiTheme="minorEastAsia"/>
          <w:sz w:val="28"/>
          <w:szCs w:val="28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 xml:space="preserve">：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仿宋"/>
          <w:sz w:val="24"/>
        </w:rPr>
        <w:t>日向你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</w:rPr>
        <w:t xml:space="preserve">送达《行政处罚决定书》 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u w:val="none"/>
        </w:rPr>
        <w:t>）煤安罚〔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  <w:u w:val="none"/>
        </w:rPr>
        <w:t>〕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号），对你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{cellIdx13}</w:t>
      </w:r>
      <w:r>
        <w:rPr>
          <w:rFonts w:hint="eastAsia" w:ascii="仿宋" w:hAnsi="仿宋" w:eastAsia="仿宋" w:cs="仿宋"/>
          <w:sz w:val="24"/>
        </w:rPr>
        <w:t>罚款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{cellIdx14} </w:t>
      </w:r>
      <w:r>
        <w:rPr>
          <w:rFonts w:hint="eastAsia" w:ascii="仿宋" w:hAnsi="仿宋" w:eastAsia="仿宋" w:cs="仿宋"/>
          <w:sz w:val="24"/>
        </w:rPr>
        <w:t>,要求于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{cellIdx17} </w:t>
      </w:r>
      <w:r>
        <w:rPr>
          <w:rFonts w:hint="eastAsia" w:ascii="仿宋" w:hAnsi="仿宋" w:eastAsia="仿宋" w:cs="仿宋"/>
          <w:sz w:val="24"/>
        </w:rPr>
        <w:t>日前履行。截至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{cellIdx18}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{cellIdx19}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{cellIdx20}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default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{cellIdx21}仍</w:t>
      </w:r>
      <w:r>
        <w:rPr>
          <w:rFonts w:hint="default" w:ascii="仿宋" w:hAnsi="仿宋" w:eastAsia="仿宋" w:cs="仿宋"/>
          <w:sz w:val="24"/>
          <w:lang w:val="en-US" w:eastAsia="zh-CN"/>
        </w:rPr>
        <w:t>未履行该处罚决定，依据</w:t>
      </w:r>
      <w:bookmarkStart w:id="0" w:name="_GoBack"/>
      <w:bookmarkEnd w:id="0"/>
      <w:r>
        <w:rPr>
          <w:rFonts w:hint="default" w:ascii="仿宋" w:hAnsi="仿宋" w:eastAsia="仿宋" w:cs="仿宋"/>
          <w:sz w:val="24"/>
          <w:lang w:val="en-US" w:eastAsia="zh-CN"/>
        </w:rPr>
        <w:t>《中华人民共和国行政处罚法》第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七十二</w:t>
      </w:r>
      <w:r>
        <w:rPr>
          <w:rFonts w:hint="default" w:ascii="仿宋" w:hAnsi="仿宋" w:eastAsia="仿宋" w:cs="仿宋"/>
          <w:sz w:val="24"/>
          <w:lang w:val="en-US" w:eastAsia="zh-CN"/>
        </w:rPr>
        <w:t>条第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一</w:t>
      </w:r>
      <w:r>
        <w:rPr>
          <w:rFonts w:hint="default" w:ascii="仿宋" w:hAnsi="仿宋" w:eastAsia="仿宋" w:cs="仿宋"/>
          <w:sz w:val="24"/>
          <w:lang w:val="en-US" w:eastAsia="zh-CN"/>
        </w:rPr>
        <w:t>款第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一</w:t>
      </w:r>
      <w:r>
        <w:rPr>
          <w:rFonts w:hint="default" w:ascii="仿宋" w:hAnsi="仿宋" w:eastAsia="仿宋" w:cs="仿宋"/>
          <w:sz w:val="24"/>
          <w:lang w:val="en-US" w:eastAsia="zh-CN"/>
        </w:rPr>
        <w:t>项规定，本机关决定对你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{cellIdx21}</w:t>
      </w:r>
      <w:r>
        <w:rPr>
          <w:rFonts w:hint="eastAsia" w:ascii="仿宋" w:hAnsi="仿宋" w:eastAsia="仿宋" w:cs="仿宋"/>
          <w:sz w:val="24"/>
        </w:rPr>
        <w:t>加处罚款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{cellIdx22} </w:t>
      </w:r>
      <w:r>
        <w:rPr>
          <w:rFonts w:hint="eastAsia" w:ascii="仿宋" w:hAnsi="仿宋" w:eastAsia="仿宋" w:cs="仿宋"/>
          <w:sz w:val="24"/>
        </w:rPr>
        <w:t>，并于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{cellIdx23}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{cellIdx24}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{cellIdx25} </w:t>
      </w:r>
      <w:r>
        <w:rPr>
          <w:rFonts w:hint="eastAsia" w:ascii="仿宋" w:hAnsi="仿宋" w:eastAsia="仿宋" w:cs="仿宋"/>
          <w:sz w:val="24"/>
        </w:rPr>
        <w:t>日前将加处的罚款缴至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{cellIdx26}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{cellIdx27}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{cellIdx28}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{cellIdx29}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{cellIdx30}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如</w:t>
      </w:r>
      <w:r>
        <w:rPr>
          <w:rFonts w:hint="eastAsia" w:ascii="仿宋" w:hAnsi="仿宋" w:eastAsia="仿宋" w:cs="仿宋"/>
          <w:sz w:val="24"/>
          <w:lang w:val="en-US" w:eastAsia="zh-CN"/>
        </w:rPr>
        <w:t>果</w:t>
      </w:r>
      <w:r>
        <w:rPr>
          <w:rFonts w:hint="default" w:ascii="仿宋" w:hAnsi="仿宋" w:eastAsia="仿宋" w:cs="仿宋"/>
          <w:sz w:val="24"/>
          <w:lang w:val="en-US" w:eastAsia="zh-CN"/>
        </w:rPr>
        <w:t>不服本决定，可在接到本决定书之日起60日内向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{cellIdx31} </w:t>
      </w:r>
      <w:r>
        <w:rPr>
          <w:rFonts w:hint="eastAsia" w:ascii="仿宋" w:hAnsi="仿宋" w:eastAsia="仿宋" w:cs="仿宋"/>
          <w:sz w:val="24"/>
        </w:rPr>
        <w:t>人民政府或者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{cellIdx32} </w:t>
      </w:r>
      <w:r>
        <w:rPr>
          <w:rFonts w:hint="eastAsia" w:ascii="仿宋" w:hAnsi="仿宋" w:eastAsia="仿宋" w:cs="仿宋"/>
          <w:sz w:val="24"/>
        </w:rPr>
        <w:t>申请行政复议，或者在6个月内依法向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{cellIdx33} </w:t>
      </w:r>
      <w:r>
        <w:rPr>
          <w:rFonts w:hint="eastAsia" w:ascii="仿宋" w:hAnsi="仿宋" w:eastAsia="仿宋" w:cs="仿宋"/>
          <w:sz w:val="24"/>
        </w:rPr>
        <w:t>法院提起行政诉讼；复议、诉讼期间，不停止执行本决定。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cellIdx34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482"/>
        <w:jc w:val="right"/>
        <w:textAlignment w:val="auto"/>
        <w:rPr>
          <w:rFonts w:ascii="仿宋_GB2312" w:hAnsi="宋体" w:eastAsia="仿宋_GB2312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{cellIdx35}</w:t>
      </w:r>
      <w:r>
        <w:rPr>
          <w:rStyle w:val="13"/>
          <w:rFonts w:ascii="仿宋_GB2312" w:hAnsi="宋体" w:eastAsia="仿宋_GB2312" w:cs="宋体"/>
          <w:kern w:val="0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8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8"/>
        <w:rPr>
          <w:rFonts w:ascii="仿宋" w:hAnsi="仿宋" w:eastAsia="仿宋"/>
          <w:sz w:val="24"/>
          <w:szCs w:val="24"/>
        </w:rPr>
      </w:pPr>
      <w:r>
        <w:rPr>
          <w:rStyle w:val="13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三</w:t>
      </w:r>
      <w:r>
        <w:rPr>
          <w:rFonts w:hint="eastAsia" w:ascii="仿宋" w:hAnsi="仿宋" w:eastAsia="仿宋"/>
          <w:sz w:val="24"/>
          <w:szCs w:val="24"/>
        </w:rPr>
        <w:t>份</w:t>
      </w:r>
      <w:r>
        <w:rPr>
          <w:rFonts w:hint="eastAsia" w:ascii="仿宋" w:hAnsi="仿宋" w:eastAsia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/>
          <w:sz w:val="24"/>
          <w:szCs w:val="24"/>
        </w:rPr>
        <w:t>一份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交银行</w:t>
      </w:r>
      <w:r>
        <w:rPr>
          <w:rFonts w:hint="eastAsia" w:ascii="仿宋" w:hAnsi="仿宋" w:eastAsia="仿宋"/>
          <w:sz w:val="24"/>
          <w:szCs w:val="24"/>
        </w:rPr>
        <w:t>，一份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交被处罚单位，一份存档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24F48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D4256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2F3A"/>
    <w:rsid w:val="00614A29"/>
    <w:rsid w:val="00616F49"/>
    <w:rsid w:val="00625054"/>
    <w:rsid w:val="006250DA"/>
    <w:rsid w:val="00625A00"/>
    <w:rsid w:val="00632A54"/>
    <w:rsid w:val="006367BD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6C11A1"/>
    <w:rsid w:val="007014B6"/>
    <w:rsid w:val="00724ABD"/>
    <w:rsid w:val="00724BF5"/>
    <w:rsid w:val="007516AF"/>
    <w:rsid w:val="007618C8"/>
    <w:rsid w:val="00795E13"/>
    <w:rsid w:val="007A7093"/>
    <w:rsid w:val="007B0039"/>
    <w:rsid w:val="007C1CFF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18A0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13CF4"/>
    <w:rsid w:val="00A22553"/>
    <w:rsid w:val="00A26124"/>
    <w:rsid w:val="00A306F5"/>
    <w:rsid w:val="00A46B89"/>
    <w:rsid w:val="00A544AF"/>
    <w:rsid w:val="00A556DF"/>
    <w:rsid w:val="00A76DC6"/>
    <w:rsid w:val="00A90224"/>
    <w:rsid w:val="00A92FD0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86215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285844F2"/>
    <w:rsid w:val="2B321E7A"/>
    <w:rsid w:val="2F2E03C5"/>
    <w:rsid w:val="55BA44AD"/>
    <w:rsid w:val="5C4141AD"/>
    <w:rsid w:val="722D2845"/>
    <w:rsid w:val="73991E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7"/>
    <w:unhideWhenUsed/>
    <w:qFormat/>
    <w:uiPriority w:val="99"/>
    <w:rPr>
      <w:rFonts w:ascii="仿宋_GB2312" w:eastAsia="仿宋_GB2312"/>
      <w:sz w:val="24"/>
    </w:rPr>
  </w:style>
  <w:style w:type="paragraph" w:styleId="4">
    <w:name w:val="Closing"/>
    <w:basedOn w:val="1"/>
    <w:link w:val="18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称呼 字符"/>
    <w:basedOn w:val="11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8">
    <w:name w:val="结束语 字符"/>
    <w:basedOn w:val="11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9">
    <w:name w:val="脚注文本 字符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0">
    <w:name w:val="批注文字 字符"/>
    <w:basedOn w:val="11"/>
    <w:link w:val="2"/>
    <w:semiHidden/>
    <w:qFormat/>
    <w:uiPriority w:val="99"/>
    <w:rPr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476</Characters>
  <Lines>3</Lines>
  <Paragraphs>1</Paragraphs>
  <TotalTime>3</TotalTime>
  <ScaleCrop>false</ScaleCrop>
  <LinksUpToDate>false</LinksUpToDate>
  <CharactersWithSpaces>558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2020-10-12T07:47:00Z</dcterms:created>
  <dcterms:modified xsi:type="dcterms:W3CDTF">2022-01-13T03:29:48Z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15C3EB75150F48BD8735B0BDF6FC42D5</vt:lpwstr>
  </property>
</Properties>
</file>