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700" w:lineRule="exact"/>
        <w:jc w:val="center"/>
        <w:rPr>
          <w:rFonts w:ascii="华文中宋" w:hAnsi="华文中宋" w:eastAsia="华文中宋"/>
          <w:b/>
          <w:sz w:val="44"/>
          <w:szCs w:val="44"/>
        </w:rPr>
      </w:pPr>
      <w:r>
        <w:rPr>
          <w:rFonts w:hint="eastAsia" w:ascii="华文中宋" w:hAnsi="华文中宋" w:eastAsia="华文中宋" w:cs="黑体"/>
          <w:b/>
          <w:sz w:val="44"/>
          <w:szCs w:val="44"/>
        </w:rPr>
        <w:t>煤矿安全监管行政执法文书</w:t>
      </w:r>
    </w:p>
    <w:p>
      <w:pPr>
        <w:spacing w:line="700" w:lineRule="exact"/>
        <w:jc w:val="center"/>
        <w:rPr>
          <w:rFonts w:ascii="黑体" w:hAnsi="黑体" w:eastAsia="黑体" w:cs="黑体"/>
          <w:b/>
          <w:sz w:val="44"/>
          <w:szCs w:val="44"/>
        </w:rPr>
      </w:pPr>
      <w:r>
        <w:rPr>
          <w:rFonts w:ascii="黑体" w:hAnsi="黑体" w:eastAsia="黑体" w:cs="黑体"/>
          <w:b/>
          <w:sz w:val="44"/>
          <w:szCs w:val="44"/>
        </w:rPr>
        <w:pict>
          <v:line id="直接连接符 112" o:spid="_x0000_s1028" o:spt="20" style="position:absolute;left:0pt;margin-left:-1.5pt;margin-top:3.55pt;height:0pt;width:413.85pt;z-index:251661312;mso-width-relative:page;mso-height-relative:page;" coordsize="21600,21600" o:gfxdata="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JTi5krVAAAABgEAAA8A&#10;AAAAAAAAAQAgAAAAIgAAAGRycy9kb3ducmV2LnhtbFBLAQIUABQAAAAIAIdO4kDcf6AE4QEAAKkD&#10;AAAOAAAAAAAAAAEAIAAAACQBAABkcnMvZTJvRG9jLnhtbFBLBQYAAAAABgAGAFkBAAB3BQAAAAA=&#10;">
            <v:path arrowok="t"/>
            <v:fill focussize="0,0"/>
            <v:stroke weight="3pt" linestyle="thinThin"/>
            <v:imagedata o:title=""/>
            <o:lock v:ext="edit"/>
          </v:line>
        </w:pict>
      </w:r>
      <w:r>
        <w:rPr>
          <w:rFonts w:hint="eastAsia" w:ascii="黑体" w:hAnsi="黑体" w:eastAsia="黑体" w:cs="黑体"/>
          <w:b/>
          <w:sz w:val="44"/>
          <w:szCs w:val="44"/>
        </w:rPr>
        <w:t>行政处罚决定书</w:t>
      </w:r>
    </w:p>
    <w:p>
      <w:pPr>
        <w:spacing w:line="560" w:lineRule="exact"/>
        <w:jc w:val="right"/>
        <w:rPr>
          <w:rFonts w:ascii="宋体"/>
          <w:sz w:val="28"/>
        </w:rPr>
      </w:pPr>
      <w:r>
        <w:rPr>
          <w:rFonts w:hint="eastAsia" w:ascii="宋体"/>
          <w:sz w:val="28"/>
          <w:lang w:val="en-US" w:eastAsia="zh-CN"/>
        </w:rPr>
        <w:t>{</w:t>
      </w:r>
      <w:r>
        <w:rPr>
          <w:rFonts w:hint="default" w:ascii="宋体"/>
          <w:sz w:val="28"/>
          <w:lang w:val="en-US" w:eastAsia="zh-CN"/>
        </w:rPr>
        <w:t>cellIdx0</w:t>
      </w:r>
      <w:r>
        <w:rPr>
          <w:rFonts w:hint="eastAsia" w:ascii="宋体"/>
          <w:sz w:val="28"/>
          <w:lang w:val="en-US" w:eastAsia="zh-CN"/>
        </w:rPr>
        <w:t>}</w:t>
      </w:r>
      <w:r>
        <w:rPr>
          <w:rFonts w:hint="eastAsia" w:ascii="宋体"/>
          <w:sz w:val="28"/>
        </w:rPr>
        <w:t>(</w:t>
      </w:r>
      <w:r>
        <w:rPr>
          <w:rFonts w:hint="eastAsia" w:ascii="宋体"/>
          <w:sz w:val="28"/>
          <w:lang w:val="en-US" w:eastAsia="zh-CN"/>
        </w:rPr>
        <w:t>{</w:t>
      </w:r>
      <w:r>
        <w:rPr>
          <w:rFonts w:hint="default" w:ascii="宋体"/>
          <w:sz w:val="28"/>
          <w:lang w:val="en-US" w:eastAsia="zh-CN"/>
        </w:rPr>
        <w:t>cellIdx1</w:t>
      </w:r>
      <w:r>
        <w:rPr>
          <w:rFonts w:hint="eastAsia" w:ascii="宋体"/>
          <w:sz w:val="28"/>
          <w:lang w:val="en-US" w:eastAsia="zh-CN"/>
        </w:rPr>
        <w:t>}</w:t>
      </w:r>
      <w:r>
        <w:rPr>
          <w:rFonts w:hint="eastAsia" w:ascii="宋体"/>
          <w:sz w:val="28"/>
        </w:rPr>
        <w:t>)煤安罚〔</w:t>
      </w:r>
      <w:r>
        <w:rPr>
          <w:rFonts w:hint="eastAsia" w:ascii="宋体"/>
          <w:sz w:val="28"/>
          <w:lang w:val="en-US" w:eastAsia="zh-CN"/>
        </w:rPr>
        <w:t>{</w:t>
      </w:r>
      <w:r>
        <w:rPr>
          <w:rFonts w:hint="default" w:ascii="宋体"/>
          <w:sz w:val="28"/>
          <w:lang w:val="en-US" w:eastAsia="zh-CN"/>
        </w:rPr>
        <w:t>cellIdx2</w:t>
      </w:r>
      <w:r>
        <w:rPr>
          <w:rFonts w:hint="eastAsia" w:ascii="宋体"/>
          <w:sz w:val="28"/>
          <w:lang w:val="en-US" w:eastAsia="zh-CN"/>
        </w:rPr>
        <w:t>}</w:t>
      </w:r>
      <w:r>
        <w:rPr>
          <w:rFonts w:hint="eastAsia" w:ascii="宋体"/>
          <w:sz w:val="28"/>
        </w:rPr>
        <w:t>〕</w:t>
      </w:r>
      <w:r>
        <w:rPr>
          <w:rFonts w:hint="eastAsia" w:ascii="宋体"/>
          <w:sz w:val="28"/>
          <w:lang w:val="en-US" w:eastAsia="zh-CN"/>
        </w:rPr>
        <w:t>{</w:t>
      </w:r>
      <w:r>
        <w:rPr>
          <w:rFonts w:hint="default" w:ascii="宋体"/>
          <w:sz w:val="28"/>
          <w:lang w:val="en-US" w:eastAsia="zh-CN"/>
        </w:rPr>
        <w:t>cellIdx3</w:t>
      </w:r>
      <w:r>
        <w:rPr>
          <w:rFonts w:hint="eastAsia" w:ascii="宋体"/>
          <w:sz w:val="28"/>
          <w:lang w:val="en-US" w:eastAsia="zh-CN"/>
        </w:rPr>
        <w:t>}</w:t>
      </w:r>
      <w:r>
        <w:rPr>
          <w:rFonts w:hint="eastAsia" w:ascii="宋体"/>
          <w:sz w:val="28"/>
        </w:rPr>
        <w:t>号</w:t>
      </w:r>
    </w:p>
    <w:p>
      <w:pPr>
        <w:spacing w:line="560" w:lineRule="exact"/>
        <w:jc w:val="left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</w:rPr>
        <w:t>被处罚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none"/>
          <w:lang w:val="en-US" w:eastAsia="zh-CN"/>
        </w:rPr>
        <w:t>cellIdx4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cellIdx5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>地址：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cellIdx6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</w:p>
    <w:p>
      <w:pPr>
        <w:spacing w:line="560" w:lineRule="exact"/>
        <w:jc w:val="left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违法事实: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cellIdx7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>以上事实违反了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cellIdx8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>的规定，依据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cellIdx9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>的规定，决定给予以下行政处罚：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cellIdx10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>。</w:t>
      </w:r>
    </w:p>
    <w:p>
      <w:pPr>
        <w:spacing w:line="560" w:lineRule="exact"/>
        <w:ind w:firstLine="480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接到本处罚决定书之日起15日内将罚款缴至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cellIdx11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>银行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cellIdx12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>支行（分理处），账户名称：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cellIdx13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>账号：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cellIdx14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>地址：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cellIdx15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>。到期不缴纳罚款的，每日按罚款数额的百分之三加处罚款。</w:t>
      </w:r>
    </w:p>
    <w:p>
      <w:pPr>
        <w:spacing w:line="560" w:lineRule="exact"/>
        <w:ind w:firstLine="480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如果不服本决定，可在接到本决定书之日起60日内向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cellIdx16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sz w:val="24"/>
        </w:rPr>
        <w:t>人民政府或者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cellIdx17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>申请行政复议，或者在6个月内依法向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cellIdx18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>人民法院提起行政诉讼，复议、诉讼期间，不停止执行本决定。</w:t>
      </w:r>
    </w:p>
    <w:p>
      <w:pPr>
        <w:tabs>
          <w:tab w:val="left" w:pos="8280"/>
        </w:tabs>
        <w:spacing w:line="560" w:lineRule="exact"/>
        <w:jc w:val="right"/>
        <w:rPr>
          <w:rFonts w:hint="eastAsia" w:ascii="仿宋" w:hAnsi="仿宋" w:eastAsia="仿宋"/>
          <w:sz w:val="24"/>
          <w:u w:val="none"/>
          <w:lang w:val="en-US" w:eastAsia="zh-CN"/>
        </w:rPr>
      </w:pPr>
    </w:p>
    <w:p>
      <w:pPr>
        <w:tabs>
          <w:tab w:val="left" w:pos="8280"/>
        </w:tabs>
        <w:spacing w:line="560" w:lineRule="exact"/>
        <w:jc w:val="right"/>
        <w:rPr>
          <w:rFonts w:ascii="仿宋" w:hAnsi="仿宋" w:eastAsia="仿宋" w:cs="仿宋"/>
          <w:sz w:val="24"/>
          <w:u w:val="none"/>
        </w:rPr>
      </w:pPr>
      <w:r>
        <w:rPr>
          <w:rFonts w:hint="eastAsia" w:ascii="仿宋" w:hAnsi="仿宋" w:eastAsia="仿宋"/>
          <w:sz w:val="24"/>
          <w:u w:val="non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none"/>
          <w:lang w:val="en-US" w:eastAsia="zh-CN"/>
        </w:rPr>
        <w:t>cellIdx19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}</w:t>
      </w:r>
      <w:r>
        <w:rPr>
          <w:rFonts w:hint="eastAsia" w:ascii="仿宋" w:hAnsi="仿宋" w:eastAsia="仿宋" w:cs="仿宋"/>
          <w:sz w:val="24"/>
          <w:u w:val="none"/>
        </w:rPr>
        <w:t xml:space="preserve">     </w:t>
      </w:r>
    </w:p>
    <w:p>
      <w:pPr>
        <w:spacing w:line="560" w:lineRule="exact"/>
        <w:jc w:val="right"/>
      </w:pPr>
      <w:r>
        <w:rPr>
          <w:rFonts w:hint="eastAsia" w:ascii="仿宋" w:hAnsi="仿宋" w:eastAsia="仿宋"/>
          <w:sz w:val="24"/>
          <w:u w:val="non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none"/>
          <w:lang w:val="en-US" w:eastAsia="zh-CN"/>
        </w:rPr>
        <w:t>cellIdx20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}</w:t>
      </w:r>
    </w:p>
    <w:p>
      <w:pPr>
        <w:spacing w:line="560" w:lineRule="exact"/>
        <w:rPr>
          <w:rFonts w:ascii="仿宋_GB2312" w:eastAsia="仿宋_GB2312"/>
          <w:sz w:val="24"/>
        </w:rPr>
      </w:pPr>
      <w:r>
        <w:rPr>
          <w:rStyle w:val="12"/>
          <w:rFonts w:ascii="仿宋_GB2312" w:eastAsia="仿宋_GB2312"/>
          <w:sz w:val="24"/>
        </w:rPr>
        <w:footnoteReference w:id="0" w:customMarkFollows="1"/>
        <w:sym w:font="Symbol" w:char="F020"/>
      </w:r>
    </w:p>
    <w:sectPr>
      <w:headerReference r:id="rId6" w:type="first"/>
      <w:footerReference r:id="rId8" w:type="first"/>
      <w:headerReference r:id="rId5" w:type="default"/>
      <w:footerReference r:id="rId7" w:type="default"/>
      <w:pgSz w:w="11906" w:h="16838"/>
      <w:pgMar w:top="1440" w:right="1800" w:bottom="1440" w:left="1800" w:header="851" w:footer="992" w:gutter="0"/>
      <w:cols w:space="425" w:num="1"/>
      <w:titlePg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pict>
        <v:shape id="_x0000_s2049" o:spid="_x0000_s2049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5"/>
                  <w:rPr>
                    <w:rFonts w:asciiTheme="majorEastAsia" w:hAnsiTheme="majorEastAsia" w:eastAsiaTheme="majorEastAsia" w:cstheme="majorEastAsia"/>
                    <w:sz w:val="24"/>
                    <w:szCs w:val="24"/>
                  </w:rPr>
                </w:pP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fldChar w:fldCharType="separate"/>
                </w:r>
                <w:r>
                  <w:rPr>
                    <w:rFonts w:asciiTheme="majorEastAsia" w:hAnsiTheme="majorEastAsia" w:eastAsiaTheme="majorEastAsia" w:cstheme="majorEastAsia"/>
                    <w:sz w:val="24"/>
                    <w:szCs w:val="24"/>
                  </w:rPr>
                  <w:t>2</w:t>
                </w: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pict>
        <v:shape id="_x0000_s2050" o:spid="_x0000_s2050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5"/>
                  <w:rPr>
                    <w:rFonts w:asciiTheme="majorEastAsia" w:hAnsiTheme="majorEastAsia" w:eastAsiaTheme="majorEastAsia" w:cstheme="majorEastAsia"/>
                    <w:sz w:val="24"/>
                    <w:szCs w:val="24"/>
                  </w:rPr>
                </w:pP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fldChar w:fldCharType="separate"/>
                </w:r>
                <w:r>
                  <w:rPr>
                    <w:rFonts w:asciiTheme="majorEastAsia" w:hAnsiTheme="majorEastAsia" w:eastAsiaTheme="majorEastAsia" w:cstheme="majorEastAsia"/>
                    <w:sz w:val="24"/>
                    <w:szCs w:val="24"/>
                  </w:rPr>
                  <w:t>1</w:t>
                </w: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/>
  </w:footnote>
  <w:footnote w:type="continuationSeparator" w:id="3">
    <w:p/>
  </w:footnote>
  <w:footnote w:id="0">
    <w:p>
      <w:pPr>
        <w:rPr>
          <w:rFonts w:ascii="仿宋_GB2312" w:eastAsia="仿宋_GB2312"/>
          <w:sz w:val="24"/>
          <w:u w:val="single"/>
        </w:rPr>
      </w:pPr>
      <w:r>
        <w:rPr>
          <w:rFonts w:ascii="仿宋_GB2312" w:eastAsia="仿宋_GB2312"/>
          <w:sz w:val="24"/>
          <w:u w:val="single"/>
        </w:rPr>
        <w:t xml:space="preserve">                                                                    </w:t>
      </w:r>
    </w:p>
    <w:p>
      <w:pPr>
        <w:rPr>
          <w:rFonts w:ascii="仿宋" w:hAnsi="仿宋" w:eastAsia="仿宋"/>
        </w:rPr>
      </w:pPr>
      <w:r>
        <w:rPr>
          <w:rFonts w:hint="eastAsia" w:ascii="仿宋" w:hAnsi="仿宋" w:eastAsia="仿宋"/>
          <w:sz w:val="24"/>
        </w:rPr>
        <w:t>备注：本文书一式三份，一份交银行，一份交被处罚</w:t>
      </w:r>
      <w:r>
        <w:rPr>
          <w:rFonts w:hint="eastAsia" w:ascii="仿宋" w:hAnsi="仿宋" w:eastAsia="仿宋"/>
          <w:sz w:val="24"/>
          <w:lang w:val="en-US" w:eastAsia="zh-CN"/>
        </w:rPr>
        <w:t>个人</w:t>
      </w:r>
      <w:bookmarkStart w:id="0" w:name="_GoBack"/>
      <w:bookmarkEnd w:id="0"/>
      <w:r>
        <w:rPr>
          <w:rFonts w:hint="eastAsia" w:ascii="仿宋" w:hAnsi="仿宋" w:eastAsia="仿宋"/>
          <w:sz w:val="24"/>
        </w:rPr>
        <w:t>，一份存档。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1"/>
      </w:pBdr>
      <w:jc w:val="both"/>
      <w:rPr>
        <w:rFonts w:asciiTheme="minorEastAsia" w:hAnsiTheme="minorEastAsia"/>
        <w:b/>
        <w:sz w:val="28"/>
        <w:szCs w:val="2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1"/>
      </w:pBdr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footnotePr>
    <w:footnote w:id="2"/>
    <w:footnote w:id="3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57F21"/>
    <w:rsid w:val="00077C25"/>
    <w:rsid w:val="00085B78"/>
    <w:rsid w:val="00086147"/>
    <w:rsid w:val="00093646"/>
    <w:rsid w:val="00096A8F"/>
    <w:rsid w:val="000C0C8A"/>
    <w:rsid w:val="000E0651"/>
    <w:rsid w:val="000F32FA"/>
    <w:rsid w:val="0012551E"/>
    <w:rsid w:val="001415E8"/>
    <w:rsid w:val="00146C72"/>
    <w:rsid w:val="00172A27"/>
    <w:rsid w:val="00187571"/>
    <w:rsid w:val="00192EFC"/>
    <w:rsid w:val="001B3074"/>
    <w:rsid w:val="001C3525"/>
    <w:rsid w:val="001D0B9B"/>
    <w:rsid w:val="002019AB"/>
    <w:rsid w:val="002058DF"/>
    <w:rsid w:val="0021494C"/>
    <w:rsid w:val="00220109"/>
    <w:rsid w:val="00246EAA"/>
    <w:rsid w:val="00260A87"/>
    <w:rsid w:val="00262997"/>
    <w:rsid w:val="002943CA"/>
    <w:rsid w:val="002D6516"/>
    <w:rsid w:val="00303C85"/>
    <w:rsid w:val="00312D45"/>
    <w:rsid w:val="00340049"/>
    <w:rsid w:val="00347F33"/>
    <w:rsid w:val="003537B8"/>
    <w:rsid w:val="003611F1"/>
    <w:rsid w:val="00387B7A"/>
    <w:rsid w:val="00396188"/>
    <w:rsid w:val="00397912"/>
    <w:rsid w:val="00402DE1"/>
    <w:rsid w:val="00406862"/>
    <w:rsid w:val="004D1EE6"/>
    <w:rsid w:val="00532291"/>
    <w:rsid w:val="00536306"/>
    <w:rsid w:val="005627D7"/>
    <w:rsid w:val="0056767E"/>
    <w:rsid w:val="00576B6C"/>
    <w:rsid w:val="005C6B46"/>
    <w:rsid w:val="00623B7E"/>
    <w:rsid w:val="006A61CB"/>
    <w:rsid w:val="006B7F2D"/>
    <w:rsid w:val="00702D4A"/>
    <w:rsid w:val="007252F9"/>
    <w:rsid w:val="00755A6F"/>
    <w:rsid w:val="0077201D"/>
    <w:rsid w:val="007C26A2"/>
    <w:rsid w:val="007C38E4"/>
    <w:rsid w:val="007D3F17"/>
    <w:rsid w:val="007F7A45"/>
    <w:rsid w:val="00821516"/>
    <w:rsid w:val="00821AA3"/>
    <w:rsid w:val="008347D4"/>
    <w:rsid w:val="00847AC7"/>
    <w:rsid w:val="00896557"/>
    <w:rsid w:val="008D310E"/>
    <w:rsid w:val="008D3DAD"/>
    <w:rsid w:val="008D7396"/>
    <w:rsid w:val="008F0B3E"/>
    <w:rsid w:val="009248E0"/>
    <w:rsid w:val="00925137"/>
    <w:rsid w:val="00986FE7"/>
    <w:rsid w:val="009A6CC1"/>
    <w:rsid w:val="009C17D1"/>
    <w:rsid w:val="009C67B5"/>
    <w:rsid w:val="00A43464"/>
    <w:rsid w:val="00A72380"/>
    <w:rsid w:val="00A95D79"/>
    <w:rsid w:val="00AD196B"/>
    <w:rsid w:val="00B24027"/>
    <w:rsid w:val="00B27882"/>
    <w:rsid w:val="00B50B7C"/>
    <w:rsid w:val="00B51A71"/>
    <w:rsid w:val="00BB33EA"/>
    <w:rsid w:val="00C036F8"/>
    <w:rsid w:val="00C2173A"/>
    <w:rsid w:val="00C35D05"/>
    <w:rsid w:val="00C86F9A"/>
    <w:rsid w:val="00CB216A"/>
    <w:rsid w:val="00CD186C"/>
    <w:rsid w:val="00D004B1"/>
    <w:rsid w:val="00D3054E"/>
    <w:rsid w:val="00D40A92"/>
    <w:rsid w:val="00D77CF5"/>
    <w:rsid w:val="00DB53E5"/>
    <w:rsid w:val="00DC0665"/>
    <w:rsid w:val="00DF009F"/>
    <w:rsid w:val="00E01426"/>
    <w:rsid w:val="00E01CE7"/>
    <w:rsid w:val="00E1116E"/>
    <w:rsid w:val="00E715E5"/>
    <w:rsid w:val="00E77111"/>
    <w:rsid w:val="00E90514"/>
    <w:rsid w:val="00EC24C3"/>
    <w:rsid w:val="00F22945"/>
    <w:rsid w:val="00F315F7"/>
    <w:rsid w:val="00F832B1"/>
    <w:rsid w:val="00F87772"/>
    <w:rsid w:val="00FB15A5"/>
    <w:rsid w:val="00FE54FC"/>
    <w:rsid w:val="022521F3"/>
    <w:rsid w:val="03E7743D"/>
    <w:rsid w:val="05E93925"/>
    <w:rsid w:val="0C2B3DBD"/>
    <w:rsid w:val="0DAE2FD3"/>
    <w:rsid w:val="160D098B"/>
    <w:rsid w:val="1E6166F7"/>
    <w:rsid w:val="27D5453D"/>
    <w:rsid w:val="2D391883"/>
    <w:rsid w:val="2E1F2305"/>
    <w:rsid w:val="2E4373BF"/>
    <w:rsid w:val="304B5512"/>
    <w:rsid w:val="32724257"/>
    <w:rsid w:val="40D50ECB"/>
    <w:rsid w:val="42AD3F96"/>
    <w:rsid w:val="432E590E"/>
    <w:rsid w:val="4832024A"/>
    <w:rsid w:val="51BE5072"/>
    <w:rsid w:val="57C04806"/>
    <w:rsid w:val="585321C0"/>
    <w:rsid w:val="5FE741B2"/>
    <w:rsid w:val="62AF16A6"/>
    <w:rsid w:val="65DB1593"/>
    <w:rsid w:val="6731154B"/>
    <w:rsid w:val="69243069"/>
    <w:rsid w:val="7AF540A1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qFormat="1" w:uiPriority="0" w:name="footnote text"/>
    <w:lsdException w:qFormat="1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qFormat="1"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qFormat="1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10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7"/>
    <w:semiHidden/>
    <w:unhideWhenUsed/>
    <w:qFormat/>
    <w:uiPriority w:val="0"/>
    <w:pPr>
      <w:jc w:val="left"/>
    </w:pPr>
  </w:style>
  <w:style w:type="paragraph" w:styleId="3">
    <w:name w:val="Salutation"/>
    <w:basedOn w:val="1"/>
    <w:next w:val="1"/>
    <w:qFormat/>
    <w:uiPriority w:val="0"/>
    <w:rPr>
      <w:rFonts w:ascii="宋体" w:hAnsi="Calibri" w:eastAsia="宋体" w:cs="宋体"/>
      <w:sz w:val="24"/>
    </w:rPr>
  </w:style>
  <w:style w:type="paragraph" w:styleId="4">
    <w:name w:val="Balloon Text"/>
    <w:basedOn w:val="1"/>
    <w:link w:val="15"/>
    <w:qFormat/>
    <w:uiPriority w:val="0"/>
    <w:rPr>
      <w:sz w:val="18"/>
      <w:szCs w:val="18"/>
    </w:rPr>
  </w:style>
  <w:style w:type="paragraph" w:styleId="5">
    <w:name w:val="footer"/>
    <w:basedOn w:val="1"/>
    <w:link w:val="14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footnote text"/>
    <w:basedOn w:val="1"/>
    <w:link w:val="16"/>
    <w:semiHidden/>
    <w:unhideWhenUsed/>
    <w:qFormat/>
    <w:uiPriority w:val="0"/>
    <w:pPr>
      <w:snapToGrid w:val="0"/>
      <w:jc w:val="left"/>
    </w:pPr>
    <w:rPr>
      <w:sz w:val="18"/>
      <w:szCs w:val="18"/>
    </w:rPr>
  </w:style>
  <w:style w:type="paragraph" w:styleId="8">
    <w:name w:val="annotation subject"/>
    <w:basedOn w:val="2"/>
    <w:next w:val="2"/>
    <w:link w:val="18"/>
    <w:semiHidden/>
    <w:unhideWhenUsed/>
    <w:qFormat/>
    <w:uiPriority w:val="0"/>
    <w:rPr>
      <w:b/>
      <w:bCs/>
    </w:rPr>
  </w:style>
  <w:style w:type="character" w:styleId="11">
    <w:name w:val="annotation reference"/>
    <w:basedOn w:val="10"/>
    <w:semiHidden/>
    <w:unhideWhenUsed/>
    <w:uiPriority w:val="0"/>
    <w:rPr>
      <w:sz w:val="21"/>
      <w:szCs w:val="21"/>
    </w:rPr>
  </w:style>
  <w:style w:type="character" w:styleId="12">
    <w:name w:val="footnote reference"/>
    <w:basedOn w:val="10"/>
    <w:semiHidden/>
    <w:unhideWhenUsed/>
    <w:qFormat/>
    <w:uiPriority w:val="0"/>
    <w:rPr>
      <w:vertAlign w:val="superscript"/>
    </w:rPr>
  </w:style>
  <w:style w:type="character" w:customStyle="1" w:styleId="13">
    <w:name w:val="页眉 字符"/>
    <w:basedOn w:val="10"/>
    <w:link w:val="6"/>
    <w:qFormat/>
    <w:uiPriority w:val="0"/>
    <w:rPr>
      <w:kern w:val="2"/>
      <w:sz w:val="18"/>
      <w:szCs w:val="18"/>
    </w:rPr>
  </w:style>
  <w:style w:type="character" w:customStyle="1" w:styleId="14">
    <w:name w:val="页脚 字符"/>
    <w:basedOn w:val="10"/>
    <w:link w:val="5"/>
    <w:qFormat/>
    <w:uiPriority w:val="0"/>
    <w:rPr>
      <w:kern w:val="2"/>
      <w:sz w:val="18"/>
      <w:szCs w:val="18"/>
    </w:rPr>
  </w:style>
  <w:style w:type="character" w:customStyle="1" w:styleId="15">
    <w:name w:val="批注框文本 字符"/>
    <w:basedOn w:val="10"/>
    <w:link w:val="4"/>
    <w:qFormat/>
    <w:uiPriority w:val="0"/>
    <w:rPr>
      <w:kern w:val="2"/>
      <w:sz w:val="18"/>
      <w:szCs w:val="18"/>
    </w:rPr>
  </w:style>
  <w:style w:type="character" w:customStyle="1" w:styleId="16">
    <w:name w:val="脚注文本 字符"/>
    <w:basedOn w:val="10"/>
    <w:link w:val="7"/>
    <w:semiHidden/>
    <w:qFormat/>
    <w:uiPriority w:val="0"/>
    <w:rPr>
      <w:kern w:val="2"/>
      <w:sz w:val="18"/>
      <w:szCs w:val="18"/>
    </w:rPr>
  </w:style>
  <w:style w:type="character" w:customStyle="1" w:styleId="17">
    <w:name w:val="批注文字 字符"/>
    <w:basedOn w:val="10"/>
    <w:link w:val="2"/>
    <w:semiHidden/>
    <w:qFormat/>
    <w:uiPriority w:val="0"/>
    <w:rPr>
      <w:kern w:val="2"/>
      <w:sz w:val="21"/>
      <w:szCs w:val="24"/>
    </w:rPr>
  </w:style>
  <w:style w:type="character" w:customStyle="1" w:styleId="18">
    <w:name w:val="批注主题 字符"/>
    <w:basedOn w:val="17"/>
    <w:link w:val="8"/>
    <w:semiHidden/>
    <w:qFormat/>
    <w:uiPriority w:val="0"/>
    <w:rPr>
      <w:b/>
      <w:bCs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2050"/>
    <customShpInfo spid="_x0000_s1028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518AAED-8A1A-49D3-8282-288B096E2B6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2</Pages>
  <Words>109</Words>
  <Characters>625</Characters>
  <Lines>5</Lines>
  <Paragraphs>1</Paragraphs>
  <TotalTime>0</TotalTime>
  <ScaleCrop>false</ScaleCrop>
  <LinksUpToDate>false</LinksUpToDate>
  <CharactersWithSpaces>733</CharactersWithSpaces>
  <Application>WPS Office_11.1.0.10723_F1E327BC-269C-435d-A152-05C5408002CA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</dc:creator>
  <cp:lastModifiedBy>chisNa</cp:lastModifiedBy>
  <dcterms:modified xsi:type="dcterms:W3CDTF">2021-10-19T09:15:26Z</dcterms:modified>
  <cp:revision>92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2052-11.1.0.10723</vt:lpwstr>
  </property>
  <property fmtid="{D5CDD505-2E9C-101B-9397-08002B2CF9AE}" pid="3" name="ICV">
    <vt:lpwstr>292EC68E1ABE466685063349EE180787</vt:lpwstr>
  </property>
</Properties>
</file>