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9FB" w:rsidRPr="002F29FB" w:rsidRDefault="002F29FB" w:rsidP="003647EB">
      <w:pPr>
        <w:spacing w:after="0" w:line="240" w:lineRule="auto"/>
        <w:jc w:val="both"/>
      </w:pPr>
      <w:r>
        <w:t>El artículo 11 del Decreto Supremo N° 250, referido al “</w:t>
      </w:r>
      <w:r w:rsidRPr="002F29FB">
        <w:t>Monto de la contratación</w:t>
      </w:r>
      <w:r w:rsidRPr="002F29FB">
        <w:t>”, indica:</w:t>
      </w:r>
    </w:p>
    <w:p w:rsidR="002F29FB" w:rsidRPr="00CE09B3" w:rsidRDefault="002F29FB" w:rsidP="003647EB">
      <w:pPr>
        <w:spacing w:after="0" w:line="240" w:lineRule="auto"/>
        <w:jc w:val="both"/>
        <w:rPr>
          <w:i/>
        </w:rPr>
      </w:pPr>
      <w:r w:rsidRPr="002F29FB">
        <w:t>“</w:t>
      </w:r>
      <w:r w:rsidRPr="00CE09B3">
        <w:rPr>
          <w:i/>
        </w:rPr>
        <w:t>Cada Entidad será responsable de estimar el posible</w:t>
      </w:r>
      <w:r w:rsidRPr="00CE09B3">
        <w:rPr>
          <w:i/>
        </w:rPr>
        <w:t xml:space="preserve"> </w:t>
      </w:r>
      <w:r w:rsidRPr="00CE09B3">
        <w:rPr>
          <w:i/>
        </w:rPr>
        <w:t>monto de las contrataciones, para los efectos de determinar</w:t>
      </w:r>
      <w:r w:rsidRPr="00CE09B3">
        <w:rPr>
          <w:i/>
        </w:rPr>
        <w:t xml:space="preserve"> </w:t>
      </w:r>
      <w:r w:rsidRPr="00CE09B3">
        <w:rPr>
          <w:i/>
        </w:rPr>
        <w:t>el mecanismo de contratación que corresponde.</w:t>
      </w:r>
      <w:r w:rsidRPr="00CE09B3">
        <w:rPr>
          <w:i/>
        </w:rPr>
        <w:t xml:space="preserve"> </w:t>
      </w:r>
    </w:p>
    <w:p w:rsidR="003647EB" w:rsidRPr="00CE09B3" w:rsidRDefault="003647EB" w:rsidP="003647EB">
      <w:pPr>
        <w:spacing w:after="0" w:line="240" w:lineRule="auto"/>
        <w:jc w:val="both"/>
        <w:rPr>
          <w:i/>
        </w:rPr>
      </w:pPr>
    </w:p>
    <w:p w:rsidR="002F29FB" w:rsidRPr="00CE09B3" w:rsidRDefault="002F29FB" w:rsidP="003647EB">
      <w:pPr>
        <w:spacing w:after="0" w:line="240" w:lineRule="auto"/>
        <w:jc w:val="both"/>
        <w:rPr>
          <w:i/>
        </w:rPr>
      </w:pPr>
      <w:r w:rsidRPr="00CE09B3">
        <w:rPr>
          <w:i/>
        </w:rPr>
        <w:t>Cuando el monto adjudicado supere en más de un 30% al</w:t>
      </w:r>
      <w:r w:rsidRPr="00CE09B3">
        <w:rPr>
          <w:i/>
        </w:rPr>
        <w:t xml:space="preserve"> </w:t>
      </w:r>
      <w:r w:rsidRPr="00CE09B3">
        <w:rPr>
          <w:i/>
        </w:rPr>
        <w:t>monto estimado, las Entidades deberán explicitar en el acto</w:t>
      </w:r>
      <w:r w:rsidRPr="00CE09B3">
        <w:rPr>
          <w:i/>
        </w:rPr>
        <w:t xml:space="preserve"> </w:t>
      </w:r>
      <w:r w:rsidRPr="00CE09B3">
        <w:rPr>
          <w:i/>
        </w:rPr>
        <w:t>adjudicatorio las razones técnicas y económicas que</w:t>
      </w:r>
      <w:r w:rsidRPr="00CE09B3">
        <w:rPr>
          <w:i/>
        </w:rPr>
        <w:t xml:space="preserve"> </w:t>
      </w:r>
      <w:r w:rsidRPr="00CE09B3">
        <w:rPr>
          <w:i/>
        </w:rPr>
        <w:t>justifiquen dicha diferencia, debiendo, asimismo, mantener</w:t>
      </w:r>
      <w:r w:rsidRPr="00CE09B3">
        <w:rPr>
          <w:i/>
        </w:rPr>
        <w:t xml:space="preserve"> </w:t>
      </w:r>
      <w:r w:rsidRPr="00CE09B3">
        <w:rPr>
          <w:i/>
        </w:rPr>
        <w:t>los antecedentes para su revisión y control posterior por</w:t>
      </w:r>
      <w:r w:rsidRPr="00CE09B3">
        <w:rPr>
          <w:i/>
        </w:rPr>
        <w:t xml:space="preserve"> </w:t>
      </w:r>
      <w:r w:rsidRPr="00CE09B3">
        <w:rPr>
          <w:i/>
        </w:rPr>
        <w:t xml:space="preserve">parte de la correspondiente entidad fiscalizadora. </w:t>
      </w:r>
    </w:p>
    <w:p w:rsidR="003647EB" w:rsidRPr="00CE09B3" w:rsidRDefault="003647EB" w:rsidP="003647EB">
      <w:pPr>
        <w:spacing w:after="0" w:line="240" w:lineRule="auto"/>
        <w:jc w:val="both"/>
        <w:rPr>
          <w:i/>
        </w:rPr>
      </w:pPr>
    </w:p>
    <w:p w:rsidR="002F29FB" w:rsidRPr="00CE09B3" w:rsidRDefault="002F29FB" w:rsidP="003647EB">
      <w:pPr>
        <w:spacing w:after="0" w:line="240" w:lineRule="auto"/>
        <w:jc w:val="both"/>
        <w:rPr>
          <w:i/>
        </w:rPr>
      </w:pPr>
      <w:r w:rsidRPr="00CE09B3">
        <w:rPr>
          <w:i/>
        </w:rPr>
        <w:t>En situaciones en donde no sea posible estimar el monto efectivo de la contratación, las Entidades deberán efectuar dicha contratación a través de una Licitación Pública, para asegurar el cumplimiento de la Ley de Compras. En dicho caso se exigirá, además, que los plazos</w:t>
      </w:r>
      <w:r w:rsidRPr="00CE09B3">
        <w:rPr>
          <w:i/>
        </w:rPr>
        <w:t xml:space="preserve"> </w:t>
      </w:r>
      <w:r w:rsidRPr="00CE09B3">
        <w:rPr>
          <w:i/>
        </w:rPr>
        <w:t>mínimos entre el llamado y la recepción de ofertas sean</w:t>
      </w:r>
      <w:r w:rsidRPr="00CE09B3">
        <w:rPr>
          <w:i/>
        </w:rPr>
        <w:t xml:space="preserve"> </w:t>
      </w:r>
      <w:r w:rsidRPr="00CE09B3">
        <w:rPr>
          <w:i/>
        </w:rPr>
        <w:t>los exigibles para las contrataciones iguales o superiores a</w:t>
      </w:r>
      <w:r w:rsidRPr="00CE09B3">
        <w:rPr>
          <w:i/>
        </w:rPr>
        <w:t xml:space="preserve"> </w:t>
      </w:r>
      <w:r w:rsidRPr="00CE09B3">
        <w:rPr>
          <w:i/>
        </w:rPr>
        <w:t>1.000 UTM e inferiores a 5.000 UTM, en conformidad al</w:t>
      </w:r>
      <w:r w:rsidRPr="00CE09B3">
        <w:rPr>
          <w:i/>
        </w:rPr>
        <w:t xml:space="preserve"> </w:t>
      </w:r>
      <w:r w:rsidRPr="00CE09B3">
        <w:rPr>
          <w:i/>
        </w:rPr>
        <w:t>artículo 25 del presente Reglamento. Adicionalmente, los</w:t>
      </w:r>
      <w:r w:rsidRPr="00CE09B3">
        <w:rPr>
          <w:i/>
        </w:rPr>
        <w:t xml:space="preserve"> </w:t>
      </w:r>
      <w:r w:rsidRPr="00CE09B3">
        <w:rPr>
          <w:i/>
        </w:rPr>
        <w:t>oferentes deberán otorgar garantías de seriedad de la</w:t>
      </w:r>
      <w:r w:rsidRPr="00CE09B3">
        <w:rPr>
          <w:i/>
        </w:rPr>
        <w:t xml:space="preserve"> </w:t>
      </w:r>
      <w:r w:rsidRPr="00CE09B3">
        <w:rPr>
          <w:i/>
        </w:rPr>
        <w:t>oferta, en conformidad al artículo 31 de este Reglamento.</w:t>
      </w:r>
    </w:p>
    <w:p w:rsidR="002F29FB" w:rsidRPr="00CE09B3" w:rsidRDefault="002F29FB" w:rsidP="003647EB">
      <w:pPr>
        <w:spacing w:after="0" w:line="240" w:lineRule="auto"/>
        <w:jc w:val="both"/>
        <w:rPr>
          <w:i/>
        </w:rPr>
      </w:pPr>
    </w:p>
    <w:p w:rsidR="002F29FB" w:rsidRDefault="002F29FB" w:rsidP="003647EB">
      <w:pPr>
        <w:spacing w:after="0" w:line="240" w:lineRule="auto"/>
        <w:jc w:val="both"/>
      </w:pPr>
      <w:r w:rsidRPr="00CE09B3">
        <w:rPr>
          <w:i/>
        </w:rPr>
        <w:t xml:space="preserve">En otras palabras, la ley establece cuatro requisitos para poder adjudicar por sobre el 30% del presupuesto inicial que es explicitar en el acto adjudicatorio las razones técnicas y económicas que justifican la diferencia, manteniendo los </w:t>
      </w:r>
      <w:r w:rsidRPr="00CE09B3">
        <w:rPr>
          <w:i/>
        </w:rPr>
        <w:t>antecedentes para su revisión y control posterior por parte de la correspondiente entidad fiscalizadora</w:t>
      </w:r>
      <w:r w:rsidR="00CE09B3">
        <w:rPr>
          <w:i/>
        </w:rPr>
        <w:t>”</w:t>
      </w:r>
      <w:r w:rsidRPr="002F29FB">
        <w:t>.</w:t>
      </w:r>
    </w:p>
    <w:p w:rsidR="002F29FB" w:rsidRDefault="002F29FB" w:rsidP="003647EB">
      <w:pPr>
        <w:spacing w:after="0" w:line="240" w:lineRule="auto"/>
        <w:jc w:val="both"/>
      </w:pPr>
    </w:p>
    <w:p w:rsidR="002F29FB" w:rsidRDefault="002F29FB" w:rsidP="003647EB">
      <w:pPr>
        <w:spacing w:after="0" w:line="240" w:lineRule="auto"/>
        <w:jc w:val="both"/>
      </w:pPr>
      <w:r>
        <w:t>En este proceso licitatorio existía un monto estimado para establecer un parámetro de oferta del contratista, y por tanto también de asignación presupuestaria al proyecto en cuestión. Sin embargo, dicha cuantificación fue insuficiente a la realidad presentada. Se estimaba un máximo del gasto de del tope de licitaciones LQ (5000 UTM, o sea 230 millones), terminando con una oferta de 416 millones aproximadamente.</w:t>
      </w:r>
    </w:p>
    <w:p w:rsidR="003647EB" w:rsidRDefault="003647EB" w:rsidP="003647EB">
      <w:pPr>
        <w:spacing w:after="0" w:line="240" w:lineRule="auto"/>
        <w:jc w:val="both"/>
      </w:pPr>
    </w:p>
    <w:p w:rsidR="002F29FB" w:rsidRDefault="002F29FB" w:rsidP="003647EB">
      <w:pPr>
        <w:spacing w:after="0" w:line="240" w:lineRule="auto"/>
        <w:jc w:val="both"/>
      </w:pPr>
      <w:r>
        <w:t xml:space="preserve">El proceso licitatorio es a precios unitarios, por tanto dependerá de la cantidad solicitada y efectivamente ejecutada por el contratista, la </w:t>
      </w:r>
      <w:r w:rsidR="003647EB">
        <w:t>cuantía</w:t>
      </w:r>
      <w:r>
        <w:t xml:space="preserve"> de dicho contrato. El </w:t>
      </w:r>
      <w:r w:rsidR="003647EB">
        <w:t>artículo</w:t>
      </w:r>
      <w:r>
        <w:t xml:space="preserve"> 11 del DS 250 ya mencionado solo establece un </w:t>
      </w:r>
      <w:r w:rsidR="003647EB">
        <w:t>mínimo</w:t>
      </w:r>
      <w:r>
        <w:t xml:space="preserve"> para complejizar el proceso adjudicatorio en caso de traspasar dicho </w:t>
      </w:r>
      <w:r w:rsidR="003647EB">
        <w:t>límite</w:t>
      </w:r>
      <w:r>
        <w:t xml:space="preserve"> que es el 30%</w:t>
      </w:r>
      <w:r w:rsidR="002B3A32">
        <w:t xml:space="preserve">, que es la justificación técnica y económica del precio extra, lo que en la especie es relativamente sencillo de justificar. Desde el punto de vista técnico solo participo el único contratista con </w:t>
      </w:r>
      <w:r w:rsidR="003647EB">
        <w:t>experiencia en la deshabilitació</w:t>
      </w:r>
      <w:r w:rsidR="002B3A32">
        <w:t xml:space="preserve">n de campamentos, que es XXXXXX. Dicho oferente inclusive trabajo con el municipio en traslado del campamento de Las Lomas I. Desde el punto de vista económico, el monto ofertado también se explica ante la comparativa de precios de mercado realizada ex post a la licitación, ya que tenemos la cotización de la empresa XXX, que llega a XXXXXXXXXXX. </w:t>
      </w:r>
    </w:p>
    <w:p w:rsidR="00CE09B3" w:rsidRDefault="00CE09B3" w:rsidP="003647EB">
      <w:pPr>
        <w:spacing w:after="0" w:line="240" w:lineRule="auto"/>
        <w:jc w:val="both"/>
      </w:pPr>
    </w:p>
    <w:p w:rsidR="002B3A32" w:rsidRDefault="002B3A32" w:rsidP="003647EB">
      <w:pPr>
        <w:spacing w:after="0" w:line="240" w:lineRule="auto"/>
        <w:jc w:val="both"/>
      </w:pPr>
      <w:r>
        <w:t xml:space="preserve">Ahora bien, si fuese solo por la causal legal, aplicada pura y simplemente, mientras se cumpla con lo dispuesto en el </w:t>
      </w:r>
      <w:r w:rsidR="003647EB">
        <w:t>artículo</w:t>
      </w:r>
      <w:r>
        <w:t xml:space="preserve"> 11, no habría problema para adjudicar </w:t>
      </w:r>
      <w:r w:rsidR="003647EB">
        <w:t>más</w:t>
      </w:r>
      <w:r>
        <w:t xml:space="preserve"> </w:t>
      </w:r>
      <w:r w:rsidR="003647EB">
        <w:t>allá</w:t>
      </w:r>
      <w:r>
        <w:t xml:space="preserve"> del 30% del </w:t>
      </w:r>
      <w:r w:rsidR="003647EB">
        <w:t>límite</w:t>
      </w:r>
      <w:r>
        <w:t xml:space="preserve"> inicial.</w:t>
      </w:r>
    </w:p>
    <w:p w:rsidR="002B3A32" w:rsidRDefault="002B3A32" w:rsidP="003647EB">
      <w:pPr>
        <w:spacing w:after="0" w:line="240" w:lineRule="auto"/>
        <w:jc w:val="both"/>
      </w:pPr>
    </w:p>
    <w:p w:rsidR="002F29FB" w:rsidRDefault="003647EB" w:rsidP="003647EB">
      <w:pPr>
        <w:spacing w:after="0" w:line="240" w:lineRule="auto"/>
        <w:jc w:val="both"/>
      </w:pPr>
      <w:r>
        <w:t>Así</w:t>
      </w:r>
      <w:r w:rsidR="002B3A32">
        <w:t xml:space="preserve"> las cosas, a fin de dar el correcto sentido y alcance a esta normativa de derecho </w:t>
      </w:r>
      <w:r>
        <w:t>público</w:t>
      </w:r>
      <w:r w:rsidR="002B3A32">
        <w:t xml:space="preserve">, se </w:t>
      </w:r>
      <w:r>
        <w:t>consultó</w:t>
      </w:r>
      <w:r w:rsidR="002B3A32">
        <w:t xml:space="preserve"> a la base de datos de jurisprudencia administrativa de la Contraloría General de La </w:t>
      </w:r>
      <w:r w:rsidR="00CE09B3">
        <w:t>R</w:t>
      </w:r>
      <w:r>
        <w:t>epública</w:t>
      </w:r>
      <w:r w:rsidR="002B3A32">
        <w:t xml:space="preserve">, la que se ha pronunciado respecto de estos artículos en tres </w:t>
      </w:r>
      <w:r w:rsidR="00CE09B3">
        <w:t>dictámenes</w:t>
      </w:r>
      <w:r w:rsidR="002B3A32">
        <w:t xml:space="preserve"> diferentes: </w:t>
      </w:r>
      <w:r w:rsidR="002B3A32">
        <w:rPr>
          <w:rFonts w:ascii="DejaVuSans" w:hAnsi="DejaVuSans" w:cs="DejaVuSans"/>
          <w:sz w:val="20"/>
          <w:szCs w:val="20"/>
        </w:rPr>
        <w:t>39228</w:t>
      </w:r>
      <w:r w:rsidR="002B3A32">
        <w:rPr>
          <w:rFonts w:ascii="DejaVuSans" w:hAnsi="DejaVuSans" w:cs="DejaVuSans"/>
          <w:sz w:val="20"/>
          <w:szCs w:val="20"/>
        </w:rPr>
        <w:t>-</w:t>
      </w:r>
      <w:r w:rsidR="002B3A32">
        <w:rPr>
          <w:rFonts w:ascii="DejaVuSans" w:hAnsi="DejaVuSans" w:cs="DejaVuSans"/>
          <w:sz w:val="20"/>
          <w:szCs w:val="20"/>
        </w:rPr>
        <w:t>09</w:t>
      </w:r>
      <w:r w:rsidR="002B3A32">
        <w:rPr>
          <w:rFonts w:ascii="DejaVuSans" w:hAnsi="DejaVuSans" w:cs="DejaVuSans"/>
          <w:sz w:val="20"/>
          <w:szCs w:val="20"/>
        </w:rPr>
        <w:t xml:space="preserve">; </w:t>
      </w:r>
      <w:r w:rsidR="002B3A32">
        <w:rPr>
          <w:rFonts w:ascii="DejaVuSans" w:hAnsi="DejaVuSans" w:cs="DejaVuSans"/>
          <w:sz w:val="20"/>
          <w:szCs w:val="20"/>
        </w:rPr>
        <w:t>71953</w:t>
      </w:r>
      <w:r w:rsidR="002B3A32">
        <w:rPr>
          <w:rFonts w:ascii="DejaVuSans" w:hAnsi="DejaVuSans" w:cs="DejaVuSans"/>
          <w:sz w:val="20"/>
          <w:szCs w:val="20"/>
        </w:rPr>
        <w:t>-</w:t>
      </w:r>
      <w:r w:rsidR="002B3A32">
        <w:rPr>
          <w:rFonts w:ascii="DejaVuSans" w:hAnsi="DejaVuSans" w:cs="DejaVuSans"/>
          <w:sz w:val="20"/>
          <w:szCs w:val="20"/>
        </w:rPr>
        <w:t>11</w:t>
      </w:r>
      <w:r w:rsidR="002B3A32">
        <w:rPr>
          <w:rFonts w:ascii="DejaVuSans" w:hAnsi="DejaVuSans" w:cs="DejaVuSans"/>
          <w:sz w:val="20"/>
          <w:szCs w:val="20"/>
        </w:rPr>
        <w:t xml:space="preserve"> y </w:t>
      </w:r>
      <w:r w:rsidR="002B3A32" w:rsidRPr="002B3A32">
        <w:t>50110</w:t>
      </w:r>
      <w:r w:rsidR="002B3A32">
        <w:t>-</w:t>
      </w:r>
      <w:r w:rsidR="002B3A32" w:rsidRPr="002B3A32">
        <w:t>13</w:t>
      </w:r>
      <w:r w:rsidR="002B3A32">
        <w:t>.</w:t>
      </w:r>
    </w:p>
    <w:p w:rsidR="00CE09B3" w:rsidRDefault="00CE09B3" w:rsidP="003647EB">
      <w:pPr>
        <w:spacing w:after="0" w:line="240" w:lineRule="auto"/>
        <w:jc w:val="both"/>
      </w:pPr>
    </w:p>
    <w:p w:rsidR="00CE09B3" w:rsidRDefault="00CE09B3" w:rsidP="00CE09B3">
      <w:pPr>
        <w:spacing w:after="0" w:line="240" w:lineRule="auto"/>
        <w:jc w:val="both"/>
      </w:pPr>
    </w:p>
    <w:p w:rsidR="003647EB" w:rsidRDefault="003647EB" w:rsidP="00CE09B3">
      <w:pPr>
        <w:spacing w:after="0" w:line="240" w:lineRule="auto"/>
        <w:jc w:val="both"/>
      </w:pPr>
      <w:r w:rsidRPr="00CE09B3">
        <w:lastRenderedPageBreak/>
        <w:t xml:space="preserve">El </w:t>
      </w:r>
      <w:r w:rsidR="00CE09B3">
        <w:t xml:space="preserve">dictamen </w:t>
      </w:r>
      <w:r w:rsidRPr="00CE09B3">
        <w:t xml:space="preserve">39228-09 </w:t>
      </w:r>
      <w:r w:rsidRPr="00CE09B3">
        <w:t>indica “</w:t>
      </w:r>
      <w:r w:rsidRPr="00CE09B3">
        <w:rPr>
          <w:i/>
        </w:rPr>
        <w:t>No se indica en las bases el monto estimativo al cual ascenderá la contratación, ni se</w:t>
      </w:r>
      <w:r w:rsidRPr="00CE09B3">
        <w:rPr>
          <w:i/>
        </w:rPr>
        <w:t xml:space="preserve"> </w:t>
      </w:r>
      <w:r w:rsidRPr="00CE09B3">
        <w:rPr>
          <w:i/>
        </w:rPr>
        <w:t>establecen parámetros ni se acompañan antecedentes que permitan calcularlo, de conformidad</w:t>
      </w:r>
      <w:r w:rsidRPr="00CE09B3">
        <w:rPr>
          <w:i/>
        </w:rPr>
        <w:t xml:space="preserve"> </w:t>
      </w:r>
      <w:r w:rsidRPr="00CE09B3">
        <w:rPr>
          <w:i/>
        </w:rPr>
        <w:t>a lo previsto en el artículo 11 del decreto N° 250, de 2004, del Ministerio de Hacienda</w:t>
      </w:r>
      <w:r w:rsidRPr="00CE09B3">
        <w:t>”</w:t>
      </w:r>
    </w:p>
    <w:p w:rsidR="003647EB" w:rsidRPr="00CE09B3" w:rsidRDefault="003647EB" w:rsidP="00CE09B3">
      <w:pPr>
        <w:spacing w:after="0" w:line="240" w:lineRule="auto"/>
        <w:jc w:val="both"/>
      </w:pPr>
    </w:p>
    <w:p w:rsidR="002B3A32" w:rsidRPr="00CE09B3" w:rsidRDefault="003647EB" w:rsidP="00CE09B3">
      <w:pPr>
        <w:spacing w:after="0" w:line="240" w:lineRule="auto"/>
        <w:jc w:val="both"/>
      </w:pPr>
      <w:r w:rsidRPr="00CE09B3">
        <w:t xml:space="preserve">El </w:t>
      </w:r>
      <w:r w:rsidR="00CE09B3">
        <w:t xml:space="preserve">dictamen </w:t>
      </w:r>
      <w:r w:rsidR="002B3A32" w:rsidRPr="00CE09B3">
        <w:t>71953-11</w:t>
      </w:r>
      <w:r w:rsidR="002B3A32" w:rsidRPr="00CE09B3">
        <w:t xml:space="preserve">, </w:t>
      </w:r>
      <w:r w:rsidRPr="00CE09B3">
        <w:t xml:space="preserve">en cuanto a dicho </w:t>
      </w:r>
      <w:r w:rsidR="00CE09B3" w:rsidRPr="00CE09B3">
        <w:t>artículo</w:t>
      </w:r>
      <w:r w:rsidRPr="00CE09B3">
        <w:t xml:space="preserve"> señala: “</w:t>
      </w:r>
      <w:r w:rsidR="002B3A32" w:rsidRPr="00CE09B3">
        <w:rPr>
          <w:i/>
        </w:rPr>
        <w:t>En otro orden de consideraciones, cabe observar que no se indica el monto</w:t>
      </w:r>
      <w:r w:rsidRPr="00CE09B3">
        <w:rPr>
          <w:i/>
        </w:rPr>
        <w:t xml:space="preserve"> </w:t>
      </w:r>
      <w:r w:rsidR="002B3A32" w:rsidRPr="00CE09B3">
        <w:rPr>
          <w:i/>
        </w:rPr>
        <w:t>estimativo al cual ascenderá la contratación, ni se establecen parámetros ni se</w:t>
      </w:r>
      <w:r w:rsidRPr="00CE09B3">
        <w:rPr>
          <w:i/>
        </w:rPr>
        <w:t xml:space="preserve"> </w:t>
      </w:r>
      <w:r w:rsidR="002B3A32" w:rsidRPr="00CE09B3">
        <w:rPr>
          <w:i/>
        </w:rPr>
        <w:t>acompañan antecedentes que permitan calcularlo, de conformidad a lo previsto en el</w:t>
      </w:r>
      <w:r w:rsidRPr="00CE09B3">
        <w:rPr>
          <w:i/>
        </w:rPr>
        <w:t xml:space="preserve"> </w:t>
      </w:r>
      <w:r w:rsidR="002B3A32" w:rsidRPr="00CE09B3">
        <w:rPr>
          <w:i/>
        </w:rPr>
        <w:t>artículo 11 del referido decreto N° 250, (aplica dictamen N° 39.228, de 2009)</w:t>
      </w:r>
      <w:r w:rsidR="002B3A32" w:rsidRPr="00CE09B3">
        <w:t>.</w:t>
      </w:r>
      <w:r w:rsidR="00CE09B3">
        <w:t>”.</w:t>
      </w:r>
    </w:p>
    <w:p w:rsidR="003647EB" w:rsidRDefault="003647EB" w:rsidP="00CE09B3">
      <w:pPr>
        <w:spacing w:after="0" w:line="240" w:lineRule="auto"/>
        <w:jc w:val="both"/>
      </w:pPr>
    </w:p>
    <w:p w:rsidR="003647EB" w:rsidRPr="00CE09B3" w:rsidRDefault="00CE09B3" w:rsidP="00CE09B3">
      <w:pPr>
        <w:spacing w:after="0" w:line="240" w:lineRule="auto"/>
        <w:jc w:val="both"/>
        <w:rPr>
          <w:i/>
        </w:rPr>
      </w:pPr>
      <w:r>
        <w:t xml:space="preserve">El dictamen </w:t>
      </w:r>
      <w:r w:rsidR="003647EB" w:rsidRPr="002B3A32">
        <w:t>50110</w:t>
      </w:r>
      <w:r w:rsidR="003647EB">
        <w:t>-</w:t>
      </w:r>
      <w:r w:rsidR="003647EB" w:rsidRPr="002B3A32">
        <w:t>13</w:t>
      </w:r>
      <w:r>
        <w:t>, expone y extiende la interpretación de sus precedentes. Este, en lo relativo al caso indica: “</w:t>
      </w:r>
      <w:r w:rsidR="003647EB" w:rsidRPr="00CE09B3">
        <w:rPr>
          <w:i/>
        </w:rPr>
        <w:t>Por otra parte, en lo que atañe a la alegación formulada por los peticionarios, relativa</w:t>
      </w:r>
      <w:r w:rsidR="003647EB" w:rsidRPr="00CE09B3">
        <w:rPr>
          <w:i/>
        </w:rPr>
        <w:t xml:space="preserve"> </w:t>
      </w:r>
      <w:r w:rsidR="003647EB" w:rsidRPr="00CE09B3">
        <w:rPr>
          <w:i/>
        </w:rPr>
        <w:t>a la indeterminación del monto del convenio de que se trata, es menester señalar</w:t>
      </w:r>
      <w:r w:rsidR="003647EB" w:rsidRPr="00CE09B3">
        <w:rPr>
          <w:i/>
        </w:rPr>
        <w:t xml:space="preserve"> </w:t>
      </w:r>
      <w:r w:rsidR="003647EB" w:rsidRPr="00CE09B3">
        <w:rPr>
          <w:i/>
        </w:rPr>
        <w:t>que, de conformidad con el inciso segundo del artículo 11 del citado decreto N° 250,</w:t>
      </w:r>
      <w:r w:rsidR="003647EB" w:rsidRPr="00CE09B3">
        <w:rPr>
          <w:i/>
        </w:rPr>
        <w:t xml:space="preserve"> </w:t>
      </w:r>
      <w:r w:rsidR="003647EB" w:rsidRPr="00CE09B3">
        <w:rPr>
          <w:i/>
        </w:rPr>
        <w:t>de 2004, del Ministerio de Hacienda, resulta admisible que la Administración celebre</w:t>
      </w:r>
      <w:r w:rsidR="003647EB" w:rsidRPr="00CE09B3">
        <w:rPr>
          <w:i/>
        </w:rPr>
        <w:t xml:space="preserve"> </w:t>
      </w:r>
      <w:r w:rsidR="003647EB" w:rsidRPr="00CE09B3">
        <w:rPr>
          <w:i/>
        </w:rPr>
        <w:t>contratos en los que no es posible estimar su monto, en cuyo caso debe</w:t>
      </w:r>
      <w:r w:rsidR="003647EB" w:rsidRPr="00CE09B3">
        <w:rPr>
          <w:i/>
        </w:rPr>
        <w:t xml:space="preserve"> </w:t>
      </w:r>
      <w:r w:rsidR="003647EB" w:rsidRPr="00CE09B3">
        <w:rPr>
          <w:i/>
        </w:rPr>
        <w:t>convocarse, necesariamente, a una licitación pública, requisito que se cumplió en la</w:t>
      </w:r>
      <w:r w:rsidR="003647EB" w:rsidRPr="00CE09B3">
        <w:rPr>
          <w:i/>
        </w:rPr>
        <w:t xml:space="preserve"> </w:t>
      </w:r>
      <w:r w:rsidR="003647EB" w:rsidRPr="00CE09B3">
        <w:rPr>
          <w:i/>
        </w:rPr>
        <w:t>situación de la especie.</w:t>
      </w:r>
    </w:p>
    <w:p w:rsidR="003647EB" w:rsidRPr="00CE09B3" w:rsidRDefault="003647EB" w:rsidP="00CE09B3">
      <w:pPr>
        <w:spacing w:after="0" w:line="240" w:lineRule="auto"/>
        <w:jc w:val="both"/>
        <w:rPr>
          <w:i/>
        </w:rPr>
      </w:pPr>
    </w:p>
    <w:p w:rsidR="003647EB" w:rsidRPr="00CE09B3" w:rsidRDefault="003647EB" w:rsidP="00CE09B3">
      <w:pPr>
        <w:spacing w:after="0" w:line="240" w:lineRule="auto"/>
        <w:jc w:val="both"/>
        <w:rPr>
          <w:i/>
        </w:rPr>
      </w:pPr>
      <w:r w:rsidRPr="00CE09B3">
        <w:rPr>
          <w:i/>
        </w:rPr>
        <w:t>No obstante lo anterior, es del caso agregar que, de acuerdo con lo preceptuado en</w:t>
      </w:r>
      <w:r w:rsidRPr="00CE09B3">
        <w:rPr>
          <w:i/>
        </w:rPr>
        <w:t xml:space="preserve"> </w:t>
      </w:r>
      <w:r w:rsidRPr="00CE09B3">
        <w:rPr>
          <w:i/>
        </w:rPr>
        <w:t>el artículo 68 del anotado decreto N° 250, de 2004, del Ministerio de Hacienda, y</w:t>
      </w:r>
      <w:r w:rsidRPr="00CE09B3">
        <w:rPr>
          <w:i/>
        </w:rPr>
        <w:t xml:space="preserve"> </w:t>
      </w:r>
      <w:r w:rsidRPr="00CE09B3">
        <w:rPr>
          <w:i/>
        </w:rPr>
        <w:t>acorde con lo manifestado en el dictamen N° 3.071, de 2012, de este origen, la</w:t>
      </w:r>
      <w:r w:rsidRPr="00CE09B3">
        <w:rPr>
          <w:i/>
        </w:rPr>
        <w:t xml:space="preserve"> </w:t>
      </w:r>
      <w:r w:rsidRPr="00CE09B3">
        <w:rPr>
          <w:i/>
        </w:rPr>
        <w:t>falta de un precio convenido no impide la constitución de los mecanismos de</w:t>
      </w:r>
      <w:r w:rsidRPr="00CE09B3">
        <w:rPr>
          <w:i/>
        </w:rPr>
        <w:t xml:space="preserve"> </w:t>
      </w:r>
      <w:r w:rsidRPr="00CE09B3">
        <w:rPr>
          <w:i/>
        </w:rPr>
        <w:t>resguardo exigidos, para cuyo propósito debe pactarse un precio estimado con el fin</w:t>
      </w:r>
      <w:r w:rsidRPr="00CE09B3">
        <w:rPr>
          <w:i/>
        </w:rPr>
        <w:t xml:space="preserve"> </w:t>
      </w:r>
      <w:r w:rsidRPr="00CE09B3">
        <w:rPr>
          <w:i/>
        </w:rPr>
        <w:t>de fijar la proporción que la respectiva garantía debe representar con relación a dicho</w:t>
      </w:r>
      <w:r w:rsidRPr="00CE09B3">
        <w:rPr>
          <w:i/>
        </w:rPr>
        <w:t xml:space="preserve"> </w:t>
      </w:r>
      <w:r w:rsidRPr="00CE09B3">
        <w:rPr>
          <w:i/>
        </w:rPr>
        <w:t>valor.</w:t>
      </w:r>
    </w:p>
    <w:p w:rsidR="00CE09B3" w:rsidRDefault="00CE09B3" w:rsidP="00CE09B3">
      <w:pPr>
        <w:spacing w:after="0" w:line="240" w:lineRule="auto"/>
        <w:jc w:val="both"/>
        <w:rPr>
          <w:i/>
        </w:rPr>
      </w:pPr>
    </w:p>
    <w:p w:rsidR="003647EB" w:rsidRDefault="003647EB" w:rsidP="00CE09B3">
      <w:pPr>
        <w:spacing w:after="0" w:line="240" w:lineRule="auto"/>
        <w:jc w:val="both"/>
      </w:pPr>
      <w:r w:rsidRPr="00CE09B3">
        <w:rPr>
          <w:i/>
        </w:rPr>
        <w:t>Por ende, aunque en la cláusula sexta del convenio en comento se estipula una</w:t>
      </w:r>
      <w:r w:rsidRPr="00CE09B3">
        <w:rPr>
          <w:i/>
        </w:rPr>
        <w:t xml:space="preserve"> </w:t>
      </w:r>
      <w:r w:rsidRPr="00CE09B3">
        <w:rPr>
          <w:i/>
        </w:rPr>
        <w:t>garantía de fiel cumplimiento por un millón de pesos, no se establece un precio</w:t>
      </w:r>
      <w:r w:rsidRPr="00CE09B3">
        <w:rPr>
          <w:i/>
        </w:rPr>
        <w:t xml:space="preserve"> </w:t>
      </w:r>
      <w:r w:rsidRPr="00CE09B3">
        <w:rPr>
          <w:i/>
        </w:rPr>
        <w:t>estimado, con el objeto de determinar a qué porcentaje corresponde el monto de la</w:t>
      </w:r>
      <w:r w:rsidRPr="00CE09B3">
        <w:rPr>
          <w:i/>
        </w:rPr>
        <w:t xml:space="preserve"> </w:t>
      </w:r>
      <w:r w:rsidRPr="00CE09B3">
        <w:rPr>
          <w:i/>
        </w:rPr>
        <w:t>garantía, lo que, por las razones expuestas, no se ajusta a derecho</w:t>
      </w:r>
      <w:r w:rsidRPr="00CE09B3">
        <w:t>.</w:t>
      </w:r>
      <w:r w:rsidR="00CE09B3">
        <w:t>”.</w:t>
      </w:r>
    </w:p>
    <w:p w:rsidR="00CE09B3" w:rsidRDefault="00CE09B3" w:rsidP="00CE09B3">
      <w:pPr>
        <w:spacing w:after="0" w:line="240" w:lineRule="auto"/>
        <w:jc w:val="both"/>
      </w:pPr>
    </w:p>
    <w:p w:rsidR="002F29FB" w:rsidRDefault="00786706" w:rsidP="003647EB">
      <w:pPr>
        <w:spacing w:after="0" w:line="240" w:lineRule="auto"/>
        <w:jc w:val="both"/>
      </w:pPr>
      <w:r>
        <w:t>Los tres dictámenes señalados, si se analizan, en realidad, si bien es cierto se refieren al artículo 11 del DS N° 250, el inciso segundo no es tocado por ninguno de ellos. No se hacen cargo</w:t>
      </w:r>
      <w:r w:rsidR="00092025">
        <w:t xml:space="preserve"> de la adjudicación más allá del 30%. En los tres, el punto común es que no se estimó el monto de la contratación, lo que en la especie no ocurre, ya que si se estimó el monto de la contratación, más dicha estimación no se dio a conocer a los oferentes y además no respondió a la realidad de la oferta.</w:t>
      </w:r>
    </w:p>
    <w:p w:rsidR="00C41B0D" w:rsidRDefault="00C41B0D" w:rsidP="003647EB">
      <w:pPr>
        <w:spacing w:after="0" w:line="240" w:lineRule="auto"/>
        <w:jc w:val="both"/>
      </w:pPr>
    </w:p>
    <w:p w:rsidR="00C41B0D" w:rsidRDefault="00C41B0D" w:rsidP="003647EB">
      <w:pPr>
        <w:spacing w:after="0" w:line="240" w:lineRule="auto"/>
        <w:jc w:val="both"/>
      </w:pPr>
      <w:r>
        <w:t>No habiendo interpretación administrativa, y siendo el tenor de la ley claro, no queda sino concluir que la sola justificación técnica y económicamente la adjudicación más allá del 30% bastaría para concretarla, sin perjuicio de la revisión que pudiese hacer la CGR al respecto.</w:t>
      </w:r>
    </w:p>
    <w:p w:rsidR="00C41B0D" w:rsidRDefault="00C41B0D" w:rsidP="003647EB">
      <w:pPr>
        <w:spacing w:after="0" w:line="240" w:lineRule="auto"/>
        <w:jc w:val="both"/>
      </w:pPr>
      <w:bookmarkStart w:id="0" w:name="_GoBack"/>
      <w:bookmarkEnd w:id="0"/>
    </w:p>
    <w:sectPr w:rsidR="00C41B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PS">
    <w:panose1 w:val="02070609020205020404"/>
    <w:charset w:val="00"/>
    <w:family w:val="modern"/>
    <w:pitch w:val="fixed"/>
    <w:sig w:usb0="00000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DejaVuSans">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4E4FD8"/>
    <w:multiLevelType w:val="hybridMultilevel"/>
    <w:tmpl w:val="A11C585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33915AD"/>
    <w:multiLevelType w:val="hybridMultilevel"/>
    <w:tmpl w:val="F338717E"/>
    <w:lvl w:ilvl="0" w:tplc="D3560B4E">
      <w:start w:val="1"/>
      <w:numFmt w:val="decimal"/>
      <w:lvlText w:val="%1)"/>
      <w:lvlJc w:val="left"/>
      <w:pPr>
        <w:ind w:left="720" w:hanging="360"/>
      </w:pPr>
      <w:rPr>
        <w:rFonts w:ascii="CourierPS" w:hAnsi="CourierPS" w:cs="CourierPS" w:hint="default"/>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9FB"/>
    <w:rsid w:val="00092025"/>
    <w:rsid w:val="002B3A32"/>
    <w:rsid w:val="002F29FB"/>
    <w:rsid w:val="003647EB"/>
    <w:rsid w:val="005060EF"/>
    <w:rsid w:val="00786706"/>
    <w:rsid w:val="00C41B0D"/>
    <w:rsid w:val="00CE09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E1AF55-D493-4EAF-9B4D-61488284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29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544B25B8A1D764A8DA834D587731925" ma:contentTypeVersion="18" ma:contentTypeDescription="Crear nuevo documento." ma:contentTypeScope="" ma:versionID="9987aa42e5cc5dcb492d993c4ac5d33d">
  <xsd:schema xmlns:xsd="http://www.w3.org/2001/XMLSchema" xmlns:xs="http://www.w3.org/2001/XMLSchema" xmlns:p="http://schemas.microsoft.com/office/2006/metadata/properties" xmlns:ns2="bb042568-8a4c-4935-a0b1-da820b9b7acc" xmlns:ns3="49190f28-2c21-4c81-bed2-72d79e2ebcd6" targetNamespace="http://schemas.microsoft.com/office/2006/metadata/properties" ma:root="true" ma:fieldsID="5d93b041b771b71a115ec8a478729121" ns2:_="" ns3:_="">
    <xsd:import namespace="bb042568-8a4c-4935-a0b1-da820b9b7acc"/>
    <xsd:import namespace="49190f28-2c21-4c81-bed2-72d79e2ebc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42568-8a4c-4935-a0b1-da820b9b7a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b90a2e2f-12a6-4a38-be20-5d08159bfcc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190f28-2c21-4c81-bed2-72d79e2ebcd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3fdef4f-39b7-4fd4-bdc2-73a23475ebb3}" ma:internalName="TaxCatchAll" ma:showField="CatchAllData" ma:web="49190f28-2c21-4c81-bed2-72d79e2eb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9190f28-2c21-4c81-bed2-72d79e2ebcd6" xsi:nil="true"/>
    <lcf76f155ced4ddcb4097134ff3c332f xmlns="bb042568-8a4c-4935-a0b1-da820b9b7a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3BAE45-7871-4C2E-9E6D-54154481E79C}"/>
</file>

<file path=customXml/itemProps2.xml><?xml version="1.0" encoding="utf-8"?>
<ds:datastoreItem xmlns:ds="http://schemas.openxmlformats.org/officeDocument/2006/customXml" ds:itemID="{4F137ACF-A207-4102-B485-CEC632C7CEA2}"/>
</file>

<file path=customXml/itemProps3.xml><?xml version="1.0" encoding="utf-8"?>
<ds:datastoreItem xmlns:ds="http://schemas.openxmlformats.org/officeDocument/2006/customXml" ds:itemID="{5023AECA-8F2D-4614-904A-1728F0BA6B9C}"/>
</file>

<file path=docProps/app.xml><?xml version="1.0" encoding="utf-8"?>
<Properties xmlns="http://schemas.openxmlformats.org/officeDocument/2006/extended-properties" xmlns:vt="http://schemas.openxmlformats.org/officeDocument/2006/docPropsVTypes">
  <Template>Normal</Template>
  <TotalTime>137</TotalTime>
  <Pages>2</Pages>
  <Words>967</Words>
  <Characters>5319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Israel López Reyes</dc:creator>
  <cp:keywords/>
  <dc:description/>
  <cp:lastModifiedBy>Nicolás Israel López Reyes</cp:lastModifiedBy>
  <cp:revision>1</cp:revision>
  <dcterms:created xsi:type="dcterms:W3CDTF">2017-12-20T19:09:00Z</dcterms:created>
  <dcterms:modified xsi:type="dcterms:W3CDTF">2017-12-20T21:26:00Z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0x0101003544B25B8A1D764A8DA834D587731925</vt:lpwstr>
  </property>
</Properties>
</file>