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Duoc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320"/>
        <w:jc w:val="center"/>
      </w:pPr>
      <w:r>
        <w:drawing>
          <wp:inline distT="0" distB="0" distL="0" distR="0">
            <wp:extent cx="1463040" cy="362363"/>
            <wp:docPr id="9901" name="Logo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uoc_logo.png"/>
                    <pic:cNvPicPr/>
                  </pic:nvPicPr>
                  <pic:blipFill>
                    <a:blip r:embed="rIdDuoc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F87F" w14:textId="77777777" w:rsidR="00293670" w:rsidRDefault="0072321A">
      <w:pPr>
        <w:spacing w:before="800" w:after="80"/>
        <w:jc w:val="center"/>
      </w:pPr>
      <w:r>
        <w:rPr>
          <w:b/>
          <w:color w:val="555555"/>
          <w:sz w:val="24"/>
        </w:rPr>
        <w:t>DUOC UC · SEDE PLAZA NORTE</w:t>
      </w:r>
    </w:p>
    <w:p w14:paraId="37290CEF" w14:textId="77777777" w:rsidR="00293670" w:rsidRDefault="0072321A">
      <w:pPr>
        <w:spacing w:after="80"/>
        <w:jc w:val="center"/>
      </w:pPr>
      <w:r>
        <w:rPr>
          <w:color w:val="555555"/>
        </w:rPr>
        <w:t xml:space="preserve">Ingeniería en Informática · PTY4614 · Capstone_006V</w:t>
      </w:r>
    </w:p>
    <w:p w14:paraId="3CE1FCC6" w14:textId="77777777" w:rsidR="00293670" w:rsidRDefault="0072321A">
      <w:pPr>
        <w:spacing w:before="1800" w:after="80"/>
        <w:jc w:val="center"/>
      </w:pPr>
      <w:r>
        <w:rPr>
          <w:b/>
          <w:color w:val="1C3557"/>
          <w:sz w:val="28"/>
        </w:rPr>
        <w:t>Proy-Capstone</w:t>
      </w:r>
    </w:p>
    <w:p w14:paraId="44AB0A80" w14:textId="77777777" w:rsidR="00293670" w:rsidRDefault="0072321A">
      <w:pPr>
        <w:spacing w:before="120"/>
        <w:jc w:val="center"/>
      </w:pPr>
      <w:r>
        <w:rPr>
          <w:b/>
          <w:sz w:val="52"/>
          <w:color w:val="1C3557"/>
        </w:rPr>
        <w:t>Evaluación y Decisión de Arquitectura</w:t>
      </w:r>
    </w:p>
    <w:p w14:paraId="70BEB0C8" w14:textId="77777777" w:rsidR="00293670" w:rsidRDefault="0072321A">
      <w:pPr>
        <w:spacing w:after="80"/>
        <w:jc w:val="center"/>
      </w:pPr>
      <w:r>
        <w:rPr>
          <w:color w:val="555555"/>
          <w:sz w:val="26"/>
        </w:rPr>
        <w:t>Plataforma de Gestión integrada con SAP Business One</w:t>
      </w:r>
    </w:p>
    <w:p w14:paraId="5E90D227" w14:textId="77777777" w:rsidR="00293670" w:rsidRDefault="0072321A">
      <w:pPr>
        <w:spacing w:after="1800"/>
        <w:jc w:val="center"/>
      </w:pPr>
      <w:r>
        <w:rPr>
          <w:b/>
          <w:color w:val="555555"/>
          <w:sz w:val="24"/>
        </w:rPr>
        <w:t xml:space="preserve">Grupo Gómez Hermanos</w:t>
      </w:r>
    </w:p>
    <w:p w14:paraId="74DB18C7" w14:textId="77777777" w:rsidR="00293670" w:rsidRDefault="0072321A">
      <w:pPr>
        <w:spacing w:before="800" w:after="80"/>
        <w:jc w:val="center"/>
      </w:pPr>
      <w:r>
        <w:rPr>
          <w:b/>
        </w:rPr>
        <w:t>Integrantes</w:t>
      </w:r>
    </w:p>
    <w:p w14:paraId="145278BE" w14:textId="77777777" w:rsidR="00293670" w:rsidRDefault="0072321A">
      <w:pPr>
        <w:spacing w:after="0"/>
        <w:jc w:val="center"/>
      </w:pPr>
      <w:r>
        <w:t>Alexssander López</w:t>
      </w:r>
    </w:p>
    <w:p w14:paraId="3AEEBA9C" w14:textId="77777777" w:rsidR="00293670" w:rsidRDefault="0072321A">
      <w:pPr>
        <w:spacing w:after="0"/>
        <w:jc w:val="center"/>
      </w:pPr>
      <w:r>
        <w:t>Millaray Espósito</w:t>
      </w:r>
    </w:p>
    <w:p w14:paraId="7379C53D" w14:textId="77777777" w:rsidR="00293670" w:rsidRDefault="0072321A">
      <w:pPr>
        <w:spacing w:after="0"/>
        <w:jc w:val="center"/>
      </w:pPr>
      <w:r>
        <w:t>Matías Orellana</w:t>
      </w:r>
    </w:p>
    <w:p w14:paraId="2190BBCF" w14:textId="77777777" w:rsidR="00293670" w:rsidRDefault="0072321A">
      <w:pPr>
        <w:spacing w:before="320" w:after="80"/>
        <w:jc w:val="center"/>
      </w:pPr>
      <w:r>
        <w:t>Profesor guía: Álvaro Mellado</w:t>
      </w:r>
    </w:p>
    <w:p w14:paraId="4881B769" w14:textId="77777777" w:rsidR="00293670" w:rsidRDefault="0072321A">
      <w:pPr>
        <w:spacing w:before="320" w:after="80"/>
        <w:jc w:val="center"/>
      </w:pPr>
      <w:r>
        <w:rPr>
          <w:color w:val="555555"/>
        </w:rPr>
        <w:t>Septiembre 2026</w:t>
      </w:r>
    </w:p>
    <w:p w14:paraId="33660E5D" w14:textId="77777777" w:rsidR="00293670" w:rsidRDefault="0072321A">
      <w:r>
        <w:br w:type="page"/>
      </w:r>
    </w:p>
    <w:p w14:paraId="6D41C9BE" w14:textId="77777777" w:rsidR="00293670" w:rsidRDefault="0072321A">
      <w:r>
        <w:rPr>
          <w:b/>
          <w:color w:val="1C3557"/>
          <w:sz w:val="32"/>
        </w:rPr>
        <w:lastRenderedPageBreak/>
        <w:t>Índice</w:t>
      </w:r>
    </w:p>
    <w:p w14:paraId="7A2D9E62" w14:textId="37C2E061" w:rsidR="00974275" w:rsidRDefault="0072321A">
      <w:pPr>
        <w:pStyle w:val="TDC2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77808" w:history="1">
        <w:r w:rsidR="00974275" w:rsidRPr="0065527F">
          <w:rPr>
            <w:rStyle w:val="Hipervnculo"/>
            <w:noProof/>
          </w:rPr>
          <w:t>1. Propósito del documento</w:t>
        </w:r>
        <w:r w:rsidR="00974275">
          <w:rPr>
            <w:noProof/>
            <w:webHidden/>
          </w:rPr>
          <w:tab/>
        </w:r>
        <w:r w:rsidR="00974275">
          <w:rPr>
            <w:noProof/>
            <w:webHidden/>
          </w:rPr>
          <w:fldChar w:fldCharType="begin"/>
        </w:r>
        <w:r w:rsidR="00974275">
          <w:rPr>
            <w:noProof/>
            <w:webHidden/>
          </w:rPr>
          <w:instrText xml:space="preserve"> PAGEREF _Toc241577808 \h </w:instrText>
        </w:r>
        <w:r w:rsidR="00974275">
          <w:rPr>
            <w:noProof/>
            <w:webHidden/>
          </w:rPr>
        </w:r>
        <w:r w:rsidR="00974275">
          <w:rPr>
            <w:noProof/>
            <w:webHidden/>
          </w:rPr>
          <w:fldChar w:fldCharType="separate"/>
        </w:r>
        <w:r w:rsidR="00974275">
          <w:rPr>
            <w:noProof/>
            <w:webHidden/>
          </w:rPr>
          <w:t>3</w:t>
        </w:r>
        <w:r w:rsidR="00974275">
          <w:rPr>
            <w:noProof/>
            <w:webHidden/>
          </w:rPr>
          <w:fldChar w:fldCharType="end"/>
        </w:r>
      </w:hyperlink>
    </w:p>
    <w:p w14:paraId="43221907" w14:textId="49C68294" w:rsidR="00974275" w:rsidRDefault="00974275">
      <w:pPr>
        <w:pStyle w:val="TDC2"/>
        <w:tabs>
          <w:tab w:val="right" w:leader="dot" w:pos="9396"/>
        </w:tabs>
        <w:rPr>
          <w:noProof/>
        </w:rPr>
      </w:pPr>
      <w:hyperlink w:anchor="_Toc241577809" w:history="1">
        <w:r w:rsidRPr="0065527F">
          <w:rPr>
            <w:rStyle w:val="Hipervnculo"/>
            <w:noProof/>
          </w:rPr>
          <w:t>2.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6EC1A" w14:textId="236A2139" w:rsidR="00974275" w:rsidRDefault="00974275">
      <w:pPr>
        <w:pStyle w:val="TDC2"/>
        <w:tabs>
          <w:tab w:val="right" w:leader="dot" w:pos="9396"/>
        </w:tabs>
        <w:rPr>
          <w:noProof/>
        </w:rPr>
      </w:pPr>
      <w:hyperlink w:anchor="_Toc241577810" w:history="1">
        <w:r w:rsidRPr="0065527F">
          <w:rPr>
            <w:rStyle w:val="Hipervnculo"/>
            <w:noProof/>
          </w:rPr>
          <w:t>3. Factores que guían la arquitectura (drivers)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3C4AA9" w14:textId="63CF67CB" w:rsidR="00974275" w:rsidRDefault="00974275">
      <w:pPr>
        <w:pStyle w:val="TDC2"/>
        <w:tabs>
          <w:tab w:val="right" w:leader="dot" w:pos="9396"/>
        </w:tabs>
        <w:rPr>
          <w:noProof/>
        </w:rPr>
      </w:pPr>
      <w:hyperlink w:anchor="_Toc241577811" w:history="1">
        <w:r w:rsidRPr="0065527F">
          <w:rPr>
            <w:rStyle w:val="Hipervnculo"/>
            <w:noProof/>
          </w:rPr>
          <w:t>4. Alternativas evaluadas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08E520" w14:textId="3CB433E3" w:rsidR="00974275" w:rsidRDefault="00974275">
      <w:pPr>
        <w:pStyle w:val="TDC2"/>
        <w:tabs>
          <w:tab w:val="right" w:leader="dot" w:pos="9396"/>
        </w:tabs>
        <w:rPr>
          <w:noProof/>
        </w:rPr>
      </w:pPr>
      <w:hyperlink w:anchor="_Toc241577812" w:history="1">
        <w:r w:rsidRPr="0065527F">
          <w:rPr>
            <w:rStyle w:val="Hipervnculo"/>
            <w:noProof/>
          </w:rPr>
          <w:t>5. Criterios y matriz de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4ACB27" w14:textId="30DCEB82" w:rsidR="00974275" w:rsidRDefault="00974275">
      <w:pPr>
        <w:pStyle w:val="TDC2"/>
        <w:tabs>
          <w:tab w:val="right" w:leader="dot" w:pos="9396"/>
        </w:tabs>
        <w:rPr>
          <w:noProof/>
        </w:rPr>
      </w:pPr>
      <w:hyperlink w:anchor="_Toc241577813" w:history="1">
        <w:r w:rsidRPr="0065527F">
          <w:rPr>
            <w:rStyle w:val="Hipervnculo"/>
            <w:noProof/>
          </w:rPr>
          <w:t>6. Decisión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60586E" w14:textId="0CFB51E3" w:rsidR="00974275" w:rsidRDefault="00974275">
      <w:pPr>
        <w:pStyle w:val="TDC2"/>
        <w:tabs>
          <w:tab w:val="right" w:leader="dot" w:pos="9396"/>
        </w:tabs>
        <w:rPr>
          <w:noProof/>
        </w:rPr>
      </w:pPr>
      <w:hyperlink w:anchor="_Toc241577814" w:history="1">
        <w:r w:rsidRPr="0065527F">
          <w:rPr>
            <w:rStyle w:val="Hipervnculo"/>
            <w:noProof/>
          </w:rPr>
          <w:t>7. Registro de decisiones de arquitectura (ADR)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2D55D2" w14:textId="17392ECB" w:rsidR="00974275" w:rsidRDefault="00974275">
      <w:pPr>
        <w:pStyle w:val="TDC2"/>
        <w:tabs>
          <w:tab w:val="right" w:leader="dot" w:pos="9396"/>
        </w:tabs>
        <w:rPr>
          <w:noProof/>
        </w:rPr>
      </w:pPr>
      <w:hyperlink w:anchor="_Toc241577815" w:history="1">
        <w:r w:rsidRPr="0065527F">
          <w:rPr>
            <w:rStyle w:val="Hipervnculo"/>
            <w:noProof/>
          </w:rPr>
          <w:t>8. Riesgos y mitigaciones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E57490" w14:textId="5742154E" w:rsidR="00293670" w:rsidRDefault="0072321A">
      <w:r>
        <w:fldChar w:fldCharType="end"/>
      </w:r>
    </w:p>
    <w:p w14:paraId="70B57993" w14:textId="77777777" w:rsidR="00293670" w:rsidRDefault="0072321A">
      <w:r>
        <w:br w:type="page"/>
      </w:r>
    </w:p>
    <w:p w14:paraId="7D05DE41" w14:textId="77777777" w:rsidR="00293670" w:rsidRDefault="0072321A">
      <w:pPr>
        <w:pStyle w:val="Ttulo2"/>
      </w:pPr>
      <w:bookmarkStart w:id="0" w:name="_Toc241577808"/>
      <w:r>
        <w:lastRenderedPageBreak/>
        <w:t>1. Propósito del documento</w:t>
      </w:r>
      <w:bookmarkEnd w:id="0"/>
    </w:p>
    <w:p w14:paraId="652C6C81" w14:textId="77777777" w:rsidR="00293670" w:rsidRDefault="0072321A">
      <w:r>
        <w:t xml:space="preserve">Este documento registra </w:t>
      </w:r>
      <w:r>
        <w:rPr>
          <w:b/>
        </w:rPr>
        <w:t>cómo y por qué</w:t>
      </w:r>
      <w:r>
        <w:t xml:space="preserve"> se eligió la arquitectura de la Plataforma de Gestión integrada con SAP Business One: los factores que guiaron la decisión, las alternativas evaluadas, los criterios y su puntuación, la decisión final y las decisiones de diseño relevantes (ADR), con sus consecuencias y riesgos.</w:t>
      </w:r>
    </w:p>
    <w:p w14:paraId="744B8BAB" w14:textId="77777777" w:rsidR="00293670" w:rsidRDefault="0072321A">
      <w:pPr>
        <w:pStyle w:val="Ttulo2"/>
      </w:pPr>
      <w:bookmarkStart w:id="1" w:name="_Toc241577809"/>
      <w:r>
        <w:t>2. Contexto</w:t>
      </w:r>
      <w:bookmarkEnd w:id="1"/>
    </w:p>
    <w:p w14:paraId="113A142A" w14:textId="77777777" w:rsidR="00293670" w:rsidRDefault="0072321A">
      <w:r>
        <w:t xml:space="preserve">La empresa opera con </w:t>
      </w:r>
      <w:r>
        <w:rPr>
          <w:b/>
        </w:rPr>
        <w:t>SAP Business One sobre SAP HANA</w:t>
      </w:r>
      <w:r>
        <w:t xml:space="preserve"> como sistema de registro (artículos, clientes, cotizaciones, órdenes de venta, compras). Los procesos que requieren autorización —creación de códigos de producto, aprobación de notas de venta con margen bajo, devoluciones y servicio técnico— se gestionan fuera de SAP mediante </w:t>
      </w:r>
      <w:r>
        <w:rPr>
          <w:b/>
        </w:rPr>
        <w:t>correo electrónico, planillas Excel y seguimientos manuales</w:t>
      </w:r>
      <w:r>
        <w:t>, lo que genera solicitudes perdidas, falta de trazabilidad y doble digitación en SAP.</w:t>
      </w:r>
    </w:p>
    <w:p w14:paraId="7C24383E" w14:textId="77777777" w:rsidR="00293670" w:rsidRDefault="0072321A">
      <w:pPr>
        <w:pStyle w:val="Ttulo3"/>
      </w:pPr>
      <w:r>
        <w:t>2.1 Infraestructura existente</w:t>
      </w:r>
    </w:p>
    <w:p w14:paraId="148E8A14" w14:textId="77777777" w:rsidR="00293670" w:rsidRDefault="0072321A">
      <w:r>
        <w:t xml:space="preserve">La empresa cuenta con un </w:t>
      </w:r>
      <w:r>
        <w:rPr>
          <w:b/>
        </w:rPr>
        <w:t>servidor on-premise con virtualización</w:t>
      </w:r>
      <w:r>
        <w:t>, donde operan: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3566"/>
        <w:gridCol w:w="1752"/>
        <w:gridCol w:w="3753"/>
      </w:tblGrid>
      <w:tr w:rsidR="00293670" w14:paraId="7263D68D" w14:textId="77777777">
        <w:trPr>
          <w:tblHeader/>
          <w:jc w:val="center"/>
        </w:trPr>
        <w:tc>
          <w:tcPr>
            <w:tcW w:w="3566" w:type="dxa"/>
            <w:tcBorders>
              <w:bottom w:val="single" w:sz="18" w:space="0" w:color="F7A81B"/>
            </w:tcBorders>
            <w:shd w:val="clear" w:color="auto" w:fill="1C3557"/>
          </w:tcPr>
          <w:p w14:paraId="3B53D5F1" w14:textId="77777777" w:rsidR="00293670" w:rsidRDefault="0072321A">
            <w:r>
              <w:rPr>
                <w:b/>
                <w:sz w:val="19"/>
                <w:color w:val="FFFFFF"/>
              </w:rPr>
              <w:t>Servidor virtual</w:t>
            </w:r>
          </w:p>
        </w:tc>
        <w:tc>
          <w:tcPr>
            <w:tcW w:w="1752" w:type="dxa"/>
            <w:tcBorders>
              <w:bottom w:val="single" w:sz="18" w:space="0" w:color="F7A81B"/>
            </w:tcBorders>
            <w:shd w:val="clear" w:color="auto" w:fill="1C3557"/>
          </w:tcPr>
          <w:p w14:paraId="1A434CA1" w14:textId="77777777" w:rsidR="00293670" w:rsidRDefault="0072321A">
            <w:r>
              <w:rPr>
                <w:b/>
                <w:sz w:val="19"/>
                <w:color w:val="FFFFFF"/>
              </w:rPr>
              <w:t>Sistema operativo</w:t>
            </w:r>
          </w:p>
        </w:tc>
        <w:tc>
          <w:tcPr>
            <w:tcW w:w="3753" w:type="dxa"/>
            <w:tcBorders>
              <w:bottom w:val="single" w:sz="18" w:space="0" w:color="F7A81B"/>
            </w:tcBorders>
            <w:shd w:val="clear" w:color="auto" w:fill="1C3557"/>
          </w:tcPr>
          <w:p w14:paraId="22DF7A4E" w14:textId="77777777" w:rsidR="00293670" w:rsidRDefault="0072321A">
            <w:r>
              <w:rPr>
                <w:b/>
                <w:sz w:val="19"/>
                <w:color w:val="FFFFFF"/>
              </w:rPr>
              <w:t>Función</w:t>
            </w:r>
          </w:p>
        </w:tc>
      </w:tr>
      <w:tr w:rsidR="00293670" w14:paraId="02BB5B87" w14:textId="77777777">
        <w:trPr>
          <w:jc w:val="center"/>
        </w:trPr>
        <w:tc>
          <w:tcPr>
            <w:tcW w:w="3566" w:type="dxa"/>
          </w:tcPr>
          <w:p w14:paraId="7B2AE5B7" w14:textId="77777777" w:rsidR="00293670" w:rsidRDefault="0072321A">
            <w:r>
              <w:rPr>
                <w:sz w:val="19"/>
              </w:rPr>
              <w:t>SAP Business One (servidor de aplicación y Service Layer)</w:t>
            </w:r>
          </w:p>
        </w:tc>
        <w:tc>
          <w:tcPr>
            <w:tcW w:w="1752" w:type="dxa"/>
          </w:tcPr>
          <w:p w14:paraId="37BB9F7B" w14:textId="77777777" w:rsidR="00293670" w:rsidRDefault="0072321A">
            <w:r>
              <w:rPr>
                <w:sz w:val="19"/>
              </w:rPr>
              <w:t>SUSE Linux Enterprise Server</w:t>
            </w:r>
          </w:p>
        </w:tc>
        <w:tc>
          <w:tcPr>
            <w:tcW w:w="3753" w:type="dxa"/>
          </w:tcPr>
          <w:p w14:paraId="33E21138" w14:textId="77777777" w:rsidR="00293670" w:rsidRDefault="0072321A">
            <w:r>
              <w:rPr>
                <w:sz w:val="19"/>
              </w:rPr>
              <w:t>ERP en producción.</w:t>
            </w:r>
          </w:p>
        </w:tc>
      </w:tr>
      <w:tr w:rsidR="00293670" w14:paraId="42F95D3F" w14:textId="77777777">
        <w:trPr>
          <w:jc w:val="center"/>
        </w:trPr>
        <w:tc>
          <w:tcPr>
            <w:tcW w:w="3566" w:type="dxa"/>
          </w:tcPr>
          <w:p w14:paraId="68B2F6C6" w14:textId="77777777" w:rsidR="00293670" w:rsidRDefault="0072321A">
            <w:r>
              <w:rPr>
                <w:sz w:val="19"/>
              </w:rPr>
              <w:t>SAP HANA</w:t>
            </w:r>
          </w:p>
        </w:tc>
        <w:tc>
          <w:tcPr>
            <w:tcW w:w="1752" w:type="dxa"/>
          </w:tcPr>
          <w:p w14:paraId="34B1F4A2" w14:textId="77777777" w:rsidR="00293670" w:rsidRDefault="0072321A">
            <w:r>
              <w:rPr>
                <w:sz w:val="19"/>
              </w:rPr>
              <w:t>SUSE Linux Enterprise Server</w:t>
            </w:r>
          </w:p>
        </w:tc>
        <w:tc>
          <w:tcPr>
            <w:tcW w:w="3753" w:type="dxa"/>
          </w:tcPr>
          <w:p w14:paraId="2A02A825" w14:textId="77777777" w:rsidR="00293670" w:rsidRDefault="0072321A">
            <w:r>
              <w:rPr>
                <w:sz w:val="19"/>
              </w:rPr>
              <w:t>Base de datos de SAP B1.</w:t>
            </w:r>
          </w:p>
        </w:tc>
      </w:tr>
      <w:tr w:rsidR="00293670" w14:paraId="2B7D5563" w14:textId="77777777">
        <w:trPr>
          <w:jc w:val="center"/>
        </w:trPr>
        <w:tc>
          <w:tcPr>
            <w:tcW w:w="3566" w:type="dxa"/>
          </w:tcPr>
          <w:p w14:paraId="737B1080" w14:textId="77777777" w:rsidR="00293670" w:rsidRDefault="0072321A">
            <w:r>
              <w:rPr>
                <w:sz w:val="19"/>
              </w:rPr>
              <w:t>Servidores de aplicaciones internas</w:t>
            </w:r>
          </w:p>
        </w:tc>
        <w:tc>
          <w:tcPr>
            <w:tcW w:w="1752" w:type="dxa"/>
          </w:tcPr>
          <w:p w14:paraId="5334FDCD" w14:textId="77777777" w:rsidR="00293670" w:rsidRDefault="0072321A">
            <w:r>
              <w:rPr>
                <w:sz w:val="19"/>
              </w:rPr>
              <w:t>Windows Server 2016</w:t>
            </w:r>
          </w:p>
        </w:tc>
        <w:tc>
          <w:tcPr>
            <w:tcW w:w="3753" w:type="dxa"/>
          </w:tcPr>
          <w:p w14:paraId="32F992B1" w14:textId="77777777" w:rsidR="00293670" w:rsidRDefault="0072321A">
            <w:r>
              <w:rPr>
                <w:sz w:val="19"/>
              </w:rPr>
              <w:t>Servicios internos de la empresa; aquí se desplegará la plataforma.</w:t>
            </w:r>
          </w:p>
        </w:tc>
      </w:tr>
    </w:tbl>
    <w:p w14:paraId="02417C94" w14:textId="77777777" w:rsidR="00293670" w:rsidRDefault="00293670"/>
    <w:p w14:paraId="2554E36D" w14:textId="77777777" w:rsidR="00293670" w:rsidRDefault="0072321A">
      <w:r>
        <w:t xml:space="preserve">La nueva plataforma </w:t>
      </w:r>
      <w:r>
        <w:rPr>
          <w:b/>
        </w:rPr>
        <w:t>no modifica</w:t>
      </w:r>
      <w:r>
        <w:t xml:space="preserve"> los servidores SUSE de SAP: se instala en un servidor virtual </w:t>
      </w:r>
      <w:r>
        <w:rPr>
          <w:b/>
        </w:rPr>
        <w:t>Windows Server 2016</w:t>
      </w:r>
      <w:r>
        <w:t xml:space="preserve"> de la misma red y se comunica con SAP solo a través de sus interfaces (Service Layer y conexión de lectura a HANA).</w:t>
      </w:r>
    </w:p>
    <w:p w14:paraId="44A5A624" w14:textId="77777777" w:rsidR="00293670" w:rsidRDefault="0072321A">
      <w:pPr>
        <w:pStyle w:val="Ttulo3"/>
      </w:pPr>
      <w:r>
        <w:t>2.2 Metodología de trabajo</w:t>
      </w:r>
    </w:p>
    <w:p w14:paraId="21E37FE2" w14:textId="77777777" w:rsidR="00293670" w:rsidRDefault="0072321A">
      <w:r>
        <w:t xml:space="preserve">El producto se construye con </w:t>
      </w:r>
      <w:r>
        <w:rPr>
          <w:b/>
        </w:rPr>
        <w:t>Scrum en 6 sprints</w:t>
      </w:r>
      <w:r>
        <w:t xml:space="preserve"> (31/08 al 13/11/2026, Carta Gantt, documento 15). Las responsabilidades de Product Owner, Scrum Master y responsable de integración y versión </w:t>
      </w:r>
      <w:r>
        <w:rPr>
          <w:b/>
        </w:rPr>
        <w:t>rotan en cada sprint</w:t>
      </w:r>
      <w:r>
        <w:t xml:space="preserve"> (Acuerdo de trabajo Scrum, documento 12, sección 10), por lo que las decisiones de arquitectura no dependen de una persona fija: se proponen en el Sprint Planning o el refinamiento, se revisan en el Pull Request (dos aprobaciones cuando afectan seguridad, integración con SAP o migraciones, DOD-06) y se registran en el Expediente de Sprint y en este documento. La arquitectura se mantiene como documento vivo (DOD-19, INC-09).</w:t>
      </w:r>
    </w:p>
    <w:p w14:paraId="2FADBB8C" w14:textId="77777777" w:rsidR="00293670" w:rsidRDefault="0072321A">
      <w:pPr>
        <w:pStyle w:val="Ttulo2"/>
      </w:pPr>
      <w:bookmarkStart w:id="2" w:name="_Toc241577810"/>
      <w:r>
        <w:t>3. Factores que guían la arquitectura (drivers)</w:t>
      </w:r>
      <w:bookmarkEnd w:id="2"/>
    </w:p>
    <w:p w14:paraId="3700B769" w14:textId="77777777" w:rsidR="00293670" w:rsidRDefault="0072321A">
      <w:pPr>
        <w:pStyle w:val="Ttulo3"/>
      </w:pPr>
      <w:r>
        <w:t>3.1 Requisitos funcionales clave</w:t>
      </w:r>
    </w:p>
    <w:p w14:paraId="318910E9" w14:textId="77777777" w:rsidR="00293670" w:rsidRDefault="0072321A">
      <w:r>
        <w:t xml:space="preserve">Los requisitos oficiales están en la </w:t>
      </w:r>
      <w:r>
        <w:rPr>
          <w:b/>
        </w:rPr>
        <w:t>Especificación de Requerimientos (SRS, documento 09)</w:t>
      </w:r>
      <w:r>
        <w:t>. Los que más condicionan la arquitectura son: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790"/>
        <w:gridCol w:w="3281"/>
      </w:tblGrid>
      <w:tr w:rsidR="00293670" w14:paraId="2F872052" w14:textId="77777777">
        <w:trPr>
          <w:tblHeader/>
          <w:jc w:val="center"/>
        </w:trPr>
        <w:tc>
          <w:tcPr>
            <w:tcW w:w="5790" w:type="dxa"/>
            <w:tcBorders>
              <w:bottom w:val="single" w:sz="18" w:space="0" w:color="F7A81B"/>
            </w:tcBorders>
            <w:shd w:val="clear" w:color="auto" w:fill="1C3557"/>
          </w:tcPr>
          <w:p w14:paraId="725A8558" w14:textId="77777777" w:rsidR="00293670" w:rsidRDefault="0072321A">
            <w:r>
              <w:rPr>
                <w:b/>
                <w:sz w:val="19"/>
                <w:color w:val="FFFFFF"/>
              </w:rPr>
              <w:t>Factor</w:t>
            </w:r>
          </w:p>
        </w:tc>
        <w:tc>
          <w:tcPr>
            <w:tcW w:w="3281" w:type="dxa"/>
            <w:tcBorders>
              <w:bottom w:val="single" w:sz="18" w:space="0" w:color="F7A81B"/>
            </w:tcBorders>
            <w:shd w:val="clear" w:color="auto" w:fill="1C3557"/>
          </w:tcPr>
          <w:p w14:paraId="15BA84D8" w14:textId="77777777" w:rsidR="00293670" w:rsidRDefault="0072321A">
            <w:r>
              <w:rPr>
                <w:b/>
                <w:sz w:val="19"/>
                <w:color w:val="FFFFFF"/>
              </w:rPr>
              <w:t>Requisitos del SRS</w:t>
            </w:r>
          </w:p>
        </w:tc>
      </w:tr>
      <w:tr w:rsidR="00293670" w14:paraId="07D9B0C7" w14:textId="77777777">
        <w:trPr>
          <w:jc w:val="center"/>
        </w:trPr>
        <w:tc>
          <w:tcPr>
            <w:tcW w:w="5790" w:type="dxa"/>
          </w:tcPr>
          <w:p w14:paraId="6DEFB910" w14:textId="77777777" w:rsidR="00293670" w:rsidRDefault="0072321A">
            <w:r>
              <w:rPr>
                <w:sz w:val="19"/>
              </w:rPr>
              <w:t>Control de acceso por usuario, área, cargo, permisos y grupos de autorizadores.</w:t>
            </w:r>
          </w:p>
        </w:tc>
        <w:tc>
          <w:tcPr>
            <w:tcW w:w="3281" w:type="dxa"/>
          </w:tcPr>
          <w:p w14:paraId="209B7B66" w14:textId="77777777" w:rsidR="00293670" w:rsidRDefault="0072321A">
            <w:r>
              <w:rPr>
                <w:sz w:val="19"/>
              </w:rPr>
              <w:t>RF-01 a RF-05, RF-29</w:t>
            </w:r>
          </w:p>
        </w:tc>
      </w:tr>
      <w:tr w:rsidR="00293670" w14:paraId="3365C373" w14:textId="77777777">
        <w:trPr>
          <w:jc w:val="center"/>
        </w:trPr>
        <w:tc>
          <w:tcPr>
            <w:tcW w:w="5790" w:type="dxa"/>
          </w:tcPr>
          <w:p w14:paraId="455F8906" w14:textId="77777777" w:rsidR="00293670" w:rsidRDefault="0072321A">
            <w:r>
              <w:rPr>
                <w:sz w:val="19"/>
              </w:rPr>
              <w:t>Flujos de solicitud con estados, aprobación, rechazo, corrección y reenvío.</w:t>
            </w:r>
          </w:p>
        </w:tc>
        <w:tc>
          <w:tcPr>
            <w:tcW w:w="3281" w:type="dxa"/>
          </w:tcPr>
          <w:p w14:paraId="7D189700" w14:textId="77777777" w:rsidR="00293670" w:rsidRDefault="0072321A">
            <w:r>
              <w:rPr>
                <w:sz w:val="19"/>
              </w:rPr>
              <w:t>RF-06 a RF-10, RF-39</w:t>
            </w:r>
          </w:p>
        </w:tc>
      </w:tr>
      <w:tr w:rsidR="00293670" w14:paraId="4D54A71F" w14:textId="77777777">
        <w:trPr>
          <w:jc w:val="center"/>
        </w:trPr>
        <w:tc>
          <w:tcPr>
            <w:tcW w:w="5790" w:type="dxa"/>
          </w:tcPr>
          <w:p w14:paraId="6207F4B5" w14:textId="77777777" w:rsidR="00293670" w:rsidRDefault="0072321A">
            <w:r>
              <w:rPr>
                <w:sz w:val="19"/>
              </w:rPr>
              <w:lastRenderedPageBreak/>
              <w:t>Cotizaciones y notas de venta con vendedor, comisión y autorización previa al envío a SAP.</w:t>
            </w:r>
          </w:p>
        </w:tc>
        <w:tc>
          <w:tcPr>
            <w:tcW w:w="3281" w:type="dxa"/>
          </w:tcPr>
          <w:p w14:paraId="6643AD1A" w14:textId="77777777" w:rsidR="00293670" w:rsidRDefault="0072321A">
            <w:r>
              <w:rPr>
                <w:sz w:val="19"/>
              </w:rPr>
              <w:t>RF-13 a RF-16, RF-36, RF-38</w:t>
            </w:r>
          </w:p>
        </w:tc>
      </w:tr>
      <w:tr w:rsidR="00293670" w14:paraId="6CFE452C" w14:textId="77777777">
        <w:trPr>
          <w:jc w:val="center"/>
        </w:trPr>
        <w:tc>
          <w:tcPr>
            <w:tcW w:w="5790" w:type="dxa"/>
          </w:tcPr>
          <w:p w14:paraId="439C2096" w14:textId="77777777" w:rsidR="00293670" w:rsidRDefault="0072321A">
            <w:r>
              <w:rPr>
                <w:sz w:val="19"/>
              </w:rPr>
              <w:t>Registro en SAP de lo aprobado, solo por Service Layer, con el número entregado por SAP y reintento sin duplicados.</w:t>
            </w:r>
          </w:p>
        </w:tc>
        <w:tc>
          <w:tcPr>
            <w:tcW w:w="3281" w:type="dxa"/>
          </w:tcPr>
          <w:p w14:paraId="579AE98A" w14:textId="77777777" w:rsidR="00293670" w:rsidRDefault="0072321A">
            <w:r>
              <w:rPr>
                <w:sz w:val="19"/>
              </w:rPr>
              <w:t>RF-27, RF-28, RF-31, RF-32</w:t>
            </w:r>
          </w:p>
        </w:tc>
      </w:tr>
      <w:tr w:rsidR="00293670" w14:paraId="70CDB5E6" w14:textId="77777777">
        <w:trPr>
          <w:jc w:val="center"/>
        </w:trPr>
        <w:tc>
          <w:tcPr>
            <w:tcW w:w="5790" w:type="dxa"/>
          </w:tcPr>
          <w:p w14:paraId="71B0945B" w14:textId="77777777" w:rsidR="00293670" w:rsidRDefault="0072321A">
            <w:r>
              <w:rPr>
                <w:sz w:val="19"/>
              </w:rPr>
              <w:t>Consulta en línea de productos, stock y clientes (crédito y bloqueo) por una API de solo lectura sobre HANA.</w:t>
            </w:r>
          </w:p>
        </w:tc>
        <w:tc>
          <w:tcPr>
            <w:tcW w:w="3281" w:type="dxa"/>
          </w:tcPr>
          <w:p w14:paraId="1E384C24" w14:textId="77777777" w:rsidR="00293670" w:rsidRDefault="0072321A">
            <w:r>
              <w:rPr>
                <w:sz w:val="19"/>
              </w:rPr>
              <w:t>RF-11, RF-12, RF-26</w:t>
            </w:r>
          </w:p>
        </w:tc>
      </w:tr>
      <w:tr w:rsidR="00293670" w14:paraId="73A85605" w14:textId="77777777">
        <w:trPr>
          <w:jc w:val="center"/>
        </w:trPr>
        <w:tc>
          <w:tcPr>
            <w:tcW w:w="5790" w:type="dxa"/>
          </w:tcPr>
          <w:p w14:paraId="1EC83AEF" w14:textId="77777777" w:rsidR="00293670" w:rsidRDefault="0072321A">
            <w:r>
              <w:rPr>
                <w:sz w:val="19"/>
              </w:rPr>
              <w:t>Notificaciones internas, recordatorios automáticos e historial de cada proceso.</w:t>
            </w:r>
          </w:p>
        </w:tc>
        <w:tc>
          <w:tcPr>
            <w:tcW w:w="3281" w:type="dxa"/>
          </w:tcPr>
          <w:p w14:paraId="02899867" w14:textId="77777777" w:rsidR="00293670" w:rsidRDefault="0072321A">
            <w:r>
              <w:rPr>
                <w:sz w:val="19"/>
              </w:rPr>
              <w:t>RF-17 a RF-20</w:t>
            </w:r>
          </w:p>
        </w:tc>
      </w:tr>
      <w:tr w:rsidR="00293670" w14:paraId="734B0530" w14:textId="77777777">
        <w:trPr>
          <w:jc w:val="center"/>
        </w:trPr>
        <w:tc>
          <w:tcPr>
            <w:tcW w:w="5790" w:type="dxa"/>
          </w:tcPr>
          <w:p w14:paraId="1BF8FD46" w14:textId="77777777" w:rsidR="00293670" w:rsidRDefault="0072321A">
            <w:r>
              <w:rPr>
                <w:sz w:val="19"/>
              </w:rPr>
              <w:t>Gestión de posventa con evidencias, estados, comprobante QR y cierre con resolución final.</w:t>
            </w:r>
          </w:p>
        </w:tc>
        <w:tc>
          <w:tcPr>
            <w:tcW w:w="3281" w:type="dxa"/>
          </w:tcPr>
          <w:p w14:paraId="3A192FC9" w14:textId="77777777" w:rsidR="00293670" w:rsidRDefault="0072321A">
            <w:r>
              <w:rPr>
                <w:sz w:val="19"/>
              </w:rPr>
              <w:t>RF-22 a RF-25, RF-30, RF-33, RF-34</w:t>
            </w:r>
          </w:p>
        </w:tc>
      </w:tr>
      <w:tr w:rsidR="00293670" w14:paraId="28B754B9" w14:textId="77777777">
        <w:trPr>
          <w:jc w:val="center"/>
        </w:trPr>
        <w:tc>
          <w:tcPr>
            <w:tcW w:w="5790" w:type="dxa"/>
          </w:tcPr>
          <w:p w14:paraId="2012F41B" w14:textId="77777777" w:rsidR="00293670" w:rsidRDefault="0072321A">
            <w:r>
              <w:rPr>
                <w:sz w:val="19"/>
              </w:rPr>
              <w:t>Operar con las dos empresas del grupo (Marsella y Asland), cada una con su base SAP.</w:t>
            </w:r>
          </w:p>
        </w:tc>
        <w:tc>
          <w:tcPr>
            <w:tcW w:w="3281" w:type="dxa"/>
          </w:tcPr>
          <w:p w14:paraId="122B786B" w14:textId="77777777" w:rsidR="00293670" w:rsidRDefault="0072321A">
            <w:r>
              <w:rPr>
                <w:sz w:val="19"/>
              </w:rPr>
              <w:t>RF-35, RF-37</w:t>
            </w:r>
          </w:p>
        </w:tc>
      </w:tr>
    </w:tbl>
    <w:p w14:paraId="1C3A0B5C" w14:textId="77777777" w:rsidR="00293670" w:rsidRDefault="00293670"/>
    <w:p w14:paraId="79D28D34" w14:textId="77777777" w:rsidR="00293670" w:rsidRDefault="0072321A">
      <w:pPr>
        <w:pStyle w:val="Ttulo3"/>
      </w:pPr>
      <w:r>
        <w:t>3.2 Atributos de calidad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71"/>
        <w:gridCol w:w="2214"/>
        <w:gridCol w:w="4285"/>
        <w:gridCol w:w="2000"/>
      </w:tblGrid>
      <w:tr w:rsidR="00293670" w14:paraId="2C1C4087" w14:textId="77777777">
        <w:trPr>
          <w:tblHeader/>
          <w:jc w:val="center"/>
        </w:trPr>
        <w:tc>
          <w:tcPr>
            <w:tcW w:w="571" w:type="dxa"/>
            <w:tcBorders>
              <w:bottom w:val="single" w:sz="18" w:space="0" w:color="F7A81B"/>
            </w:tcBorders>
            <w:shd w:val="clear" w:color="auto" w:fill="1C3557"/>
          </w:tcPr>
          <w:p w14:paraId="1D7FFA5B" w14:textId="77777777" w:rsidR="00293670" w:rsidRDefault="0072321A">
            <w:r>
              <w:rPr>
                <w:b/>
                <w:sz w:val="19"/>
                <w:color w:val="FFFFFF"/>
              </w:rPr>
              <w:t>ID</w:t>
            </w:r>
          </w:p>
        </w:tc>
        <w:tc>
          <w:tcPr>
            <w:tcW w:w="2214" w:type="dxa"/>
            <w:tcBorders>
              <w:bottom w:val="single" w:sz="18" w:space="0" w:color="F7A81B"/>
            </w:tcBorders>
            <w:shd w:val="clear" w:color="auto" w:fill="1C3557"/>
          </w:tcPr>
          <w:p w14:paraId="51B42F47" w14:textId="77777777" w:rsidR="00293670" w:rsidRDefault="0072321A">
            <w:r>
              <w:rPr>
                <w:b/>
                <w:sz w:val="19"/>
                <w:color w:val="FFFFFF"/>
              </w:rPr>
              <w:t>Atributo</w:t>
            </w:r>
          </w:p>
        </w:tc>
        <w:tc>
          <w:tcPr>
            <w:tcW w:w="4285" w:type="dxa"/>
            <w:tcBorders>
              <w:bottom w:val="single" w:sz="18" w:space="0" w:color="F7A81B"/>
            </w:tcBorders>
            <w:shd w:val="clear" w:color="auto" w:fill="1C3557"/>
          </w:tcPr>
          <w:p w14:paraId="088695CE" w14:textId="77777777" w:rsidR="00293670" w:rsidRDefault="0072321A">
            <w:r>
              <w:rPr>
                <w:b/>
                <w:sz w:val="19"/>
                <w:color w:val="FFFFFF"/>
              </w:rPr>
              <w:t>Escenario medible</w:t>
            </w:r>
          </w:p>
        </w:tc>
        <w:tc>
          <w:tcPr>
            <w:tcW w:w="2000" w:type="dxa"/>
            <w:tcBorders>
              <w:bottom w:val="single" w:sz="18" w:space="0" w:color="F7A81B"/>
            </w:tcBorders>
            <w:shd w:val="clear" w:color="auto" w:fill="1C3557"/>
          </w:tcPr>
          <w:p w14:paraId="2E2DBF9A" w14:textId="77777777" w:rsidR="00293670" w:rsidRDefault="0072321A">
            <w:r>
              <w:rPr>
                <w:b/>
                <w:sz w:val="19"/>
                <w:color w:val="FFFFFF"/>
              </w:rPr>
              <w:t>Requisito del SRS</w:t>
            </w:r>
          </w:p>
        </w:tc>
      </w:tr>
      <w:tr w:rsidR="00293670" w14:paraId="11D5A464" w14:textId="77777777">
        <w:trPr>
          <w:jc w:val="center"/>
        </w:trPr>
        <w:tc>
          <w:tcPr>
            <w:tcW w:w="571" w:type="dxa"/>
          </w:tcPr>
          <w:p w14:paraId="52E43CC1" w14:textId="77777777" w:rsidR="00293670" w:rsidRDefault="0072321A">
            <w:r>
              <w:rPr>
                <w:sz w:val="19"/>
              </w:rPr>
              <w:t>AC-01</w:t>
            </w:r>
          </w:p>
        </w:tc>
        <w:tc>
          <w:tcPr>
            <w:tcW w:w="2214" w:type="dxa"/>
          </w:tcPr>
          <w:p w14:paraId="18FB9D6B" w14:textId="77777777" w:rsidR="00293670" w:rsidRDefault="0072321A">
            <w:r>
              <w:rPr>
                <w:b/>
                <w:sz w:val="19"/>
              </w:rPr>
              <w:t>Integrabilidad</w:t>
            </w:r>
          </w:p>
        </w:tc>
        <w:tc>
          <w:tcPr>
            <w:tcW w:w="4285" w:type="dxa"/>
          </w:tcPr>
          <w:p w14:paraId="07D2DB88" w14:textId="77777777" w:rsidR="00293670" w:rsidRDefault="0072321A">
            <w:r>
              <w:rPr>
                <w:sz w:val="19"/>
              </w:rPr>
              <w:t>Toda escritura a SAP pasa por la interfaz oficial (Service Layer) y respeta sus validaciones.</w:t>
            </w:r>
          </w:p>
        </w:tc>
        <w:tc>
          <w:tcPr>
            <w:tcW w:w="2000" w:type="dxa"/>
          </w:tcPr>
          <w:p w14:paraId="3F3C92B9" w14:textId="77777777" w:rsidR="00293670" w:rsidRDefault="0072321A">
            <w:r>
              <w:rPr>
                <w:sz w:val="19"/>
              </w:rPr>
              <w:t>RF-27, RNF-20</w:t>
            </w:r>
          </w:p>
        </w:tc>
      </w:tr>
      <w:tr w:rsidR="00293670" w14:paraId="40C0C5F2" w14:textId="77777777">
        <w:trPr>
          <w:jc w:val="center"/>
        </w:trPr>
        <w:tc>
          <w:tcPr>
            <w:tcW w:w="571" w:type="dxa"/>
          </w:tcPr>
          <w:p w14:paraId="4C105A5B" w14:textId="77777777" w:rsidR="00293670" w:rsidRDefault="0072321A">
            <w:r>
              <w:rPr>
                <w:sz w:val="19"/>
              </w:rPr>
              <w:t>AC-02</w:t>
            </w:r>
          </w:p>
        </w:tc>
        <w:tc>
          <w:tcPr>
            <w:tcW w:w="2214" w:type="dxa"/>
          </w:tcPr>
          <w:p w14:paraId="2A674095" w14:textId="77777777" w:rsidR="00293670" w:rsidRDefault="0072321A">
            <w:r>
              <w:rPr>
                <w:b/>
                <w:sz w:val="19"/>
              </w:rPr>
              <w:t>Trazabilidad / auditabilidad</w:t>
            </w:r>
          </w:p>
        </w:tc>
        <w:tc>
          <w:tcPr>
            <w:tcW w:w="4285" w:type="dxa"/>
          </w:tcPr>
          <w:p w14:paraId="562560B4" w14:textId="77777777" w:rsidR="00293670" w:rsidRDefault="0072321A">
            <w:r>
              <w:rPr>
                <w:sz w:val="19"/>
              </w:rPr>
              <w:t>Cada cambio de estado registra usuario, fecha, acción y detalle en la misma transacción; cada llamada a SAP y cada acceso quedan registrados.</w:t>
            </w:r>
          </w:p>
        </w:tc>
        <w:tc>
          <w:tcPr>
            <w:tcW w:w="2000" w:type="dxa"/>
          </w:tcPr>
          <w:p w14:paraId="72FBCBA7" w14:textId="77777777" w:rsidR="00293670" w:rsidRDefault="0072321A">
            <w:r>
              <w:rPr>
                <w:sz w:val="19"/>
              </w:rPr>
              <w:t>RF-19, RF-28, RNF-05, RNF-12</w:t>
            </w:r>
          </w:p>
        </w:tc>
      </w:tr>
      <w:tr w:rsidR="00293670" w14:paraId="461B2B5C" w14:textId="77777777">
        <w:trPr>
          <w:jc w:val="center"/>
        </w:trPr>
        <w:tc>
          <w:tcPr>
            <w:tcW w:w="571" w:type="dxa"/>
          </w:tcPr>
          <w:p w14:paraId="3E76AD8E" w14:textId="77777777" w:rsidR="00293670" w:rsidRDefault="0072321A">
            <w:r>
              <w:rPr>
                <w:sz w:val="19"/>
              </w:rPr>
              <w:t>AC-03</w:t>
            </w:r>
          </w:p>
        </w:tc>
        <w:tc>
          <w:tcPr>
            <w:tcW w:w="2214" w:type="dxa"/>
          </w:tcPr>
          <w:p w14:paraId="69ECF5DA" w14:textId="77777777" w:rsidR="00293670" w:rsidRDefault="0072321A">
            <w:r>
              <w:rPr>
                <w:b/>
                <w:sz w:val="19"/>
              </w:rPr>
              <w:t>Seguridad</w:t>
            </w:r>
          </w:p>
        </w:tc>
        <w:tc>
          <w:tcPr>
            <w:tcW w:w="4285" w:type="dxa"/>
          </w:tcPr>
          <w:p w14:paraId="42A0A129" w14:textId="77777777" w:rsidR="00293670" w:rsidRDefault="0072321A">
            <w:r>
              <w:rPr>
                <w:sz w:val="19"/>
              </w:rPr>
              <w:t>Un usuario sin permiso no ve la opción en el menú ni puede ejecutarla por URL; los archivos se entregan solo a participantes; la sesión expira por inactividad; las consultas a la API van firmadas; no hay credenciales en el código.</w:t>
            </w:r>
          </w:p>
        </w:tc>
        <w:tc>
          <w:tcPr>
            <w:tcW w:w="2000" w:type="dxa"/>
          </w:tcPr>
          <w:p w14:paraId="27536A21" w14:textId="77777777" w:rsidR="00293670" w:rsidRDefault="0072321A">
            <w:r>
              <w:rPr>
                <w:sz w:val="19"/>
              </w:rPr>
              <w:t>RNF-01 a RNF-06</w:t>
            </w:r>
          </w:p>
        </w:tc>
      </w:tr>
      <w:tr w:rsidR="00293670" w14:paraId="7422794E" w14:textId="77777777">
        <w:trPr>
          <w:jc w:val="center"/>
        </w:trPr>
        <w:tc>
          <w:tcPr>
            <w:tcW w:w="571" w:type="dxa"/>
          </w:tcPr>
          <w:p w14:paraId="1B5B4B2E" w14:textId="77777777" w:rsidR="00293670" w:rsidRDefault="0072321A">
            <w:r>
              <w:rPr>
                <w:sz w:val="19"/>
              </w:rPr>
              <w:t>AC-04</w:t>
            </w:r>
          </w:p>
        </w:tc>
        <w:tc>
          <w:tcPr>
            <w:tcW w:w="2214" w:type="dxa"/>
          </w:tcPr>
          <w:p w14:paraId="185FE6A0" w14:textId="77777777" w:rsidR="00293670" w:rsidRDefault="0072321A">
            <w:r>
              <w:rPr>
                <w:b/>
                <w:sz w:val="19"/>
              </w:rPr>
              <w:t>Rendimiento</w:t>
            </w:r>
          </w:p>
        </w:tc>
        <w:tc>
          <w:tcPr>
            <w:tcW w:w="4285" w:type="dxa"/>
          </w:tcPr>
          <w:p w14:paraId="321F4378" w14:textId="77777777" w:rsidR="00293670" w:rsidRDefault="0072321A">
            <w:r>
              <w:rPr>
                <w:sz w:val="19"/>
              </w:rPr>
              <w:t>Las consultas de productos, clientes y stock responden en menos de 3 s en condiciones normales; los listados se paginan.</w:t>
            </w:r>
          </w:p>
        </w:tc>
        <w:tc>
          <w:tcPr>
            <w:tcW w:w="2000" w:type="dxa"/>
          </w:tcPr>
          <w:p w14:paraId="746C2709" w14:textId="77777777" w:rsidR="00293670" w:rsidRDefault="0072321A">
            <w:r>
              <w:rPr>
                <w:sz w:val="19"/>
              </w:rPr>
              <w:t>RNF-07, RNF-22</w:t>
            </w:r>
          </w:p>
        </w:tc>
      </w:tr>
      <w:tr w:rsidR="00293670" w14:paraId="6AE082E7" w14:textId="77777777">
        <w:trPr>
          <w:jc w:val="center"/>
        </w:trPr>
        <w:tc>
          <w:tcPr>
            <w:tcW w:w="571" w:type="dxa"/>
          </w:tcPr>
          <w:p w14:paraId="69949B0C" w14:textId="77777777" w:rsidR="00293670" w:rsidRDefault="0072321A">
            <w:r>
              <w:rPr>
                <w:sz w:val="19"/>
              </w:rPr>
              <w:t>AC-05</w:t>
            </w:r>
          </w:p>
        </w:tc>
        <w:tc>
          <w:tcPr>
            <w:tcW w:w="2214" w:type="dxa"/>
          </w:tcPr>
          <w:p w14:paraId="050D02FD" w14:textId="77777777" w:rsidR="00293670" w:rsidRDefault="0072321A">
            <w:r>
              <w:rPr>
                <w:b/>
                <w:sz w:val="19"/>
              </w:rPr>
              <w:t>Confiabilidad</w:t>
            </w:r>
          </w:p>
        </w:tc>
        <w:tc>
          <w:tcPr>
            <w:tcW w:w="4285" w:type="dxa"/>
          </w:tcPr>
          <w:p w14:paraId="5F385F67" w14:textId="77777777" w:rsidR="00293670" w:rsidRDefault="0072321A">
            <w:r>
              <w:rPr>
                <w:sz w:val="19"/>
              </w:rPr>
              <w:t>Una nota de venta no puede crearse dos veces en SAP (doble clic, reintento) y SAP recibe exactamente lo autorizado.</w:t>
            </w:r>
          </w:p>
        </w:tc>
        <w:tc>
          <w:tcPr>
            <w:tcW w:w="2000" w:type="dxa"/>
          </w:tcPr>
          <w:p w14:paraId="10B0D4CD" w14:textId="77777777" w:rsidR="00293670" w:rsidRDefault="0072321A">
            <w:r>
              <w:rPr>
                <w:sz w:val="19"/>
              </w:rPr>
              <w:t>RF-32, RNF-12</w:t>
            </w:r>
          </w:p>
        </w:tc>
      </w:tr>
      <w:tr w:rsidR="00293670" w14:paraId="7BE07C80" w14:textId="77777777">
        <w:trPr>
          <w:jc w:val="center"/>
        </w:trPr>
        <w:tc>
          <w:tcPr>
            <w:tcW w:w="571" w:type="dxa"/>
          </w:tcPr>
          <w:p w14:paraId="420ACE3B" w14:textId="77777777" w:rsidR="00293670" w:rsidRDefault="0072321A">
            <w:r>
              <w:rPr>
                <w:sz w:val="19"/>
              </w:rPr>
              <w:t>AC-06</w:t>
            </w:r>
          </w:p>
        </w:tc>
        <w:tc>
          <w:tcPr>
            <w:tcW w:w="2214" w:type="dxa"/>
          </w:tcPr>
          <w:p w14:paraId="33968015" w14:textId="77777777" w:rsidR="00293670" w:rsidRDefault="0072321A">
            <w:r>
              <w:rPr>
                <w:b/>
                <w:sz w:val="19"/>
              </w:rPr>
              <w:t>Mantenibilidad</w:t>
            </w:r>
          </w:p>
        </w:tc>
        <w:tc>
          <w:tcPr>
            <w:tcW w:w="4285" w:type="dxa"/>
          </w:tcPr>
          <w:p w14:paraId="2FBC6685" w14:textId="77777777" w:rsidR="00293670" w:rsidRDefault="0072321A">
            <w:r>
              <w:rPr>
                <w:sz w:val="19"/>
              </w:rPr>
              <w:t>Un desarrollador nuevo levanta el entorno en menos de 15 minutos; más de 1.100 pruebas automatizadas; migraciones reversibles.</w:t>
            </w:r>
          </w:p>
        </w:tc>
        <w:tc>
          <w:tcPr>
            <w:tcW w:w="2000" w:type="dxa"/>
          </w:tcPr>
          <w:p w14:paraId="69B5BB54" w14:textId="77777777" w:rsidR="00293670" w:rsidRDefault="0072321A">
            <w:r>
              <w:rPr>
                <w:sz w:val="19"/>
              </w:rPr>
              <w:t>RNF-18 a RNF-20</w:t>
            </w:r>
          </w:p>
        </w:tc>
      </w:tr>
      <w:tr w:rsidR="00293670" w14:paraId="31EB751A" w14:textId="77777777">
        <w:trPr>
          <w:jc w:val="center"/>
        </w:trPr>
        <w:tc>
          <w:tcPr>
            <w:tcW w:w="571" w:type="dxa"/>
          </w:tcPr>
          <w:p w14:paraId="6E15256C" w14:textId="77777777" w:rsidR="00293670" w:rsidRDefault="0072321A">
            <w:r>
              <w:rPr>
                <w:sz w:val="19"/>
              </w:rPr>
              <w:t>AC-07</w:t>
            </w:r>
          </w:p>
        </w:tc>
        <w:tc>
          <w:tcPr>
            <w:tcW w:w="2214" w:type="dxa"/>
          </w:tcPr>
          <w:p w14:paraId="3C4981DE" w14:textId="77777777" w:rsidR="00293670" w:rsidRDefault="0072321A">
            <w:r>
              <w:rPr>
                <w:b/>
                <w:sz w:val="19"/>
              </w:rPr>
              <w:t>Testeabilidad / demostrabilidad</w:t>
            </w:r>
          </w:p>
        </w:tc>
        <w:tc>
          <w:tcPr>
            <w:tcW w:w="4285" w:type="dxa"/>
          </w:tcPr>
          <w:p w14:paraId="6B07EF32" w14:textId="77777777" w:rsidR="00293670" w:rsidRDefault="0072321A">
            <w:r>
              <w:rPr>
                <w:sz w:val="19"/>
              </w:rPr>
              <w:t>La plataforma completa funciona sin acceso a SAP (modo simulado) para desarrollo, pruebas y demostración.</w:t>
            </w:r>
          </w:p>
        </w:tc>
        <w:tc>
          <w:tcPr>
            <w:tcW w:w="2000" w:type="dxa"/>
          </w:tcPr>
          <w:p w14:paraId="2A70514B" w14:textId="77777777" w:rsidR="00293670" w:rsidRDefault="0072321A">
            <w:r>
              <w:rPr>
                <w:sz w:val="19"/>
              </w:rPr>
              <w:t>RNF-21</w:t>
            </w:r>
          </w:p>
        </w:tc>
      </w:tr>
      <w:tr w:rsidR="00293670" w14:paraId="56752015" w14:textId="77777777">
        <w:trPr>
          <w:jc w:val="center"/>
        </w:trPr>
        <w:tc>
          <w:tcPr>
            <w:tcW w:w="571" w:type="dxa"/>
          </w:tcPr>
          <w:p w14:paraId="30F82B88" w14:textId="77777777" w:rsidR="00293670" w:rsidRDefault="0072321A">
            <w:r>
              <w:rPr>
                <w:sz w:val="19"/>
              </w:rPr>
              <w:t>AC-08</w:t>
            </w:r>
          </w:p>
        </w:tc>
        <w:tc>
          <w:tcPr>
            <w:tcW w:w="2214" w:type="dxa"/>
          </w:tcPr>
          <w:p w14:paraId="3BAAC604" w14:textId="77777777" w:rsidR="00293670" w:rsidRDefault="0072321A">
            <w:r>
              <w:rPr>
                <w:b/>
                <w:sz w:val="19"/>
              </w:rPr>
              <w:t>Usabilidad</w:t>
            </w:r>
          </w:p>
        </w:tc>
        <w:tc>
          <w:tcPr>
            <w:tcW w:w="4285" w:type="dxa"/>
          </w:tcPr>
          <w:p w14:paraId="217B577B" w14:textId="77777777" w:rsidR="00293670" w:rsidRDefault="0072321A">
            <w:r>
              <w:rPr>
                <w:sz w:val="19"/>
              </w:rPr>
              <w:t xml:space="preserve">Interfaz web en español con </w:t>
            </w:r>
            <w:r>
              <w:rPr>
                <w:b/>
                <w:sz w:val="19"/>
              </w:rPr>
              <w:t>diseño responsivo</w:t>
            </w:r>
            <w:r>
              <w:rPr>
                <w:sz w:val="19"/>
              </w:rPr>
              <w:t xml:space="preserve"> (computador, tablet y teléfono), modo día/noche y mensajes de error claros.</w:t>
            </w:r>
          </w:p>
        </w:tc>
        <w:tc>
          <w:tcPr>
            <w:tcW w:w="2000" w:type="dxa"/>
          </w:tcPr>
          <w:p w14:paraId="13D7BCDD" w14:textId="77777777" w:rsidR="00293670" w:rsidRDefault="0072321A">
            <w:r>
              <w:rPr>
                <w:sz w:val="19"/>
              </w:rPr>
              <w:t>RNF-15 a RNF-17</w:t>
            </w:r>
          </w:p>
        </w:tc>
      </w:tr>
    </w:tbl>
    <w:p w14:paraId="665CAF80" w14:textId="77777777" w:rsidR="00293670" w:rsidRDefault="00293670"/>
    <w:p w14:paraId="0CC5B498" w14:textId="77777777" w:rsidR="00293670" w:rsidRDefault="0072321A">
      <w:pPr>
        <w:pStyle w:val="Ttulo3"/>
      </w:pPr>
      <w:r>
        <w:t>3.3 Restricciones</w:t>
      </w:r>
    </w:p>
    <w:p w14:paraId="17ADDEB3" w14:textId="77777777" w:rsidR="00293670" w:rsidRDefault="0072321A">
      <w:r>
        <w:t>Corresponden a las restricciones X-04 a X-13 del SRS:</w:t>
      </w:r>
    </w:p>
    <w:p w14:paraId="04452457" w14:textId="77777777" w:rsidR="00293670" w:rsidRDefault="0072321A">
      <w:pPr>
        <w:pStyle w:val="Listaconvietas"/>
      </w:pPr>
      <w:r>
        <w:t>SAP Business One y HANA existentes: no se reemplazan ni se modifican sus tablas; toda escritura va por Service Layer y las consultas a HANA son de solo lectura (X-05, X-06).</w:t>
      </w:r>
    </w:p>
    <w:p w14:paraId="6B8FD0A1" w14:textId="77777777" w:rsidR="00293670" w:rsidRDefault="0072321A">
      <w:pPr>
        <w:pStyle w:val="Listaconvietas"/>
      </w:pPr>
      <w:r>
        <w:t xml:space="preserve">Infraestructura on-premise virtualizada: SAP B1 y HANA en </w:t>
      </w:r>
      <w:r>
        <w:rPr>
          <w:b/>
        </w:rPr>
        <w:t>SUSE Linux</w:t>
      </w:r>
      <w:r>
        <w:t xml:space="preserve"> (no se intervienen); la plataforma y sus tareas programadas deben correr en </w:t>
      </w:r>
      <w:r>
        <w:rPr>
          <w:b/>
        </w:rPr>
        <w:t>Windows Server 2016</w:t>
      </w:r>
      <w:r>
        <w:t xml:space="preserve"> (X-07, RNF-24).</w:t>
      </w:r>
    </w:p>
    <w:p w14:paraId="0743A515" w14:textId="77777777" w:rsidR="00293670" w:rsidRDefault="0072321A">
      <w:pPr>
        <w:pStyle w:val="Listaconvietas"/>
      </w:pPr>
      <w:r>
        <w:t>Sin servicios en la nube obligatorios: todo dentro de la red interna, sin publicar componentes en Internet (X-08, RNF-10).</w:t>
      </w:r>
    </w:p>
    <w:p w14:paraId="4920BC05" w14:textId="77777777" w:rsidR="00293670" w:rsidRDefault="0072321A">
      <w:pPr>
        <w:pStyle w:val="Listaconvietas"/>
      </w:pPr>
      <w:r>
        <w:lastRenderedPageBreak/>
        <w:t>Respeto del contrato y del licenciamiento vigente de SAP Business One (X-04).</w:t>
      </w:r>
    </w:p>
    <w:p w14:paraId="07D9D7CC" w14:textId="77777777" w:rsidR="00293670" w:rsidRDefault="0072321A">
      <w:pPr>
        <w:pStyle w:val="Listaconvietas"/>
      </w:pPr>
      <w:r>
        <w:t xml:space="preserve">Equipo de 3 desarrolladores con experiencia en </w:t>
      </w:r>
      <w:r>
        <w:rPr>
          <w:b/>
        </w:rPr>
        <w:t>Python</w:t>
      </w:r>
      <w:r>
        <w:t xml:space="preserve"> y desarrollo web; herramientas de acceso libre (X-13).</w:t>
      </w:r>
    </w:p>
    <w:p w14:paraId="4B3867A1" w14:textId="77777777" w:rsidR="00293670" w:rsidRDefault="0072321A">
      <w:pPr>
        <w:pStyle w:val="Listaconvietas"/>
      </w:pPr>
      <w:r>
        <w:t>Presupuesto acotado: sin licencias adicionales de SAP ni de plataformas comerciales.</w:t>
      </w:r>
    </w:p>
    <w:p w14:paraId="4DEC6002" w14:textId="77777777" w:rsidR="00293670" w:rsidRDefault="0072321A">
      <w:pPr>
        <w:pStyle w:val="Listaconvietas"/>
      </w:pPr>
      <w:r>
        <w:t>Plazo de un semestre académico (6 sprints).</w:t>
      </w:r>
    </w:p>
    <w:p w14:paraId="002C0260" w14:textId="77777777" w:rsidR="00293670" w:rsidRDefault="0072321A">
      <w:pPr>
        <w:pStyle w:val="Ttulo2"/>
      </w:pPr>
      <w:bookmarkStart w:id="3" w:name="_Toc241577811"/>
      <w:r>
        <w:t>4. Alternativas evaluadas</w:t>
      </w:r>
      <w:bookmarkEnd w:id="3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252"/>
        <w:gridCol w:w="4252"/>
      </w:tblGrid>
      <w:tr w:rsidR="00293670" w14:paraId="3C82CC95" w14:textId="77777777">
        <w:trPr>
          <w:tblHeader/>
          <w:jc w:val="center"/>
        </w:trPr>
        <w:tc>
          <w:tcPr>
            <w:tcW w:w="567" w:type="dxa"/>
            <w:tcBorders>
              <w:bottom w:val="single" w:sz="18" w:space="0" w:color="F7A81B"/>
            </w:tcBorders>
            <w:shd w:val="clear" w:color="auto" w:fill="1C3557"/>
          </w:tcPr>
          <w:p w14:paraId="3363C197" w14:textId="77777777" w:rsidR="00293670" w:rsidRDefault="0072321A">
            <w:r>
              <w:rPr>
                <w:b/>
                <w:sz w:val="19"/>
                <w:color w:val="FFFFFF"/>
              </w:rPr>
              <w:t>ID</w:t>
            </w:r>
          </w:p>
        </w:tc>
        <w:tc>
          <w:tcPr>
            <w:tcW w:w="4252" w:type="dxa"/>
            <w:tcBorders>
              <w:bottom w:val="single" w:sz="18" w:space="0" w:color="F7A81B"/>
            </w:tcBorders>
            <w:shd w:val="clear" w:color="auto" w:fill="1C3557"/>
          </w:tcPr>
          <w:p w14:paraId="150697D9" w14:textId="77777777" w:rsidR="00293670" w:rsidRDefault="0072321A">
            <w:r>
              <w:rPr>
                <w:b/>
                <w:sz w:val="19"/>
                <w:color w:val="FFFFFF"/>
              </w:rPr>
              <w:t>Alternativa</w:t>
            </w:r>
          </w:p>
        </w:tc>
        <w:tc>
          <w:tcPr>
            <w:tcW w:w="4252" w:type="dxa"/>
            <w:tcBorders>
              <w:bottom w:val="single" w:sz="18" w:space="0" w:color="F7A81B"/>
            </w:tcBorders>
            <w:shd w:val="clear" w:color="auto" w:fill="1C3557"/>
          </w:tcPr>
          <w:p w14:paraId="38FC2777" w14:textId="77777777" w:rsidR="00293670" w:rsidRDefault="0072321A">
            <w:r>
              <w:rPr>
                <w:b/>
                <w:sz w:val="19"/>
                <w:color w:val="FFFFFF"/>
              </w:rPr>
              <w:t>Descripción</w:t>
            </w:r>
          </w:p>
        </w:tc>
      </w:tr>
      <w:tr w:rsidR="00293670" w14:paraId="7F0E3282" w14:textId="77777777">
        <w:trPr>
          <w:jc w:val="center"/>
        </w:trPr>
        <w:tc>
          <w:tcPr>
            <w:tcW w:w="567" w:type="dxa"/>
          </w:tcPr>
          <w:p w14:paraId="00EF4D7E" w14:textId="77777777" w:rsidR="00293670" w:rsidRDefault="0072321A">
            <w:r>
              <w:rPr>
                <w:b/>
                <w:sz w:val="19"/>
              </w:rPr>
              <w:t>A</w:t>
            </w:r>
          </w:p>
        </w:tc>
        <w:tc>
          <w:tcPr>
            <w:tcW w:w="4252" w:type="dxa"/>
          </w:tcPr>
          <w:p w14:paraId="777C9AAF" w14:textId="77777777" w:rsidR="00293670" w:rsidRDefault="0072321A">
            <w:r>
              <w:rPr>
                <w:b/>
                <w:sz w:val="19"/>
              </w:rPr>
              <w:t>Monolito modular web (Django) + Service Layer + API de lectura sobre HANA</w:t>
            </w:r>
          </w:p>
        </w:tc>
        <w:tc>
          <w:tcPr>
            <w:tcW w:w="4252" w:type="dxa"/>
          </w:tcPr>
          <w:p w14:paraId="02472976" w14:textId="77777777" w:rsidR="00293670" w:rsidRDefault="0072321A">
            <w:r>
              <w:rPr>
                <w:sz w:val="19"/>
              </w:rPr>
              <w:t>Aplicación web propia organizada en módulos por dominio; escribe en SAP por Service Layer y consulta HANA con una API liviana.</w:t>
            </w:r>
          </w:p>
        </w:tc>
      </w:tr>
      <w:tr w:rsidR="00293670" w14:paraId="6ABE7B48" w14:textId="77777777">
        <w:trPr>
          <w:jc w:val="center"/>
        </w:trPr>
        <w:tc>
          <w:tcPr>
            <w:tcW w:w="567" w:type="dxa"/>
          </w:tcPr>
          <w:p w14:paraId="5EB4B098" w14:textId="77777777" w:rsidR="00293670" w:rsidRDefault="0072321A">
            <w:r>
              <w:rPr>
                <w:sz w:val="19"/>
              </w:rPr>
              <w:t>B</w:t>
            </w:r>
          </w:p>
        </w:tc>
        <w:tc>
          <w:tcPr>
            <w:tcW w:w="4252" w:type="dxa"/>
          </w:tcPr>
          <w:p w14:paraId="54E7A271" w14:textId="77777777" w:rsidR="00293670" w:rsidRDefault="0072321A">
            <w:r>
              <w:rPr>
                <w:sz w:val="19"/>
              </w:rPr>
              <w:t>Microservicios</w:t>
            </w:r>
          </w:p>
        </w:tc>
        <w:tc>
          <w:tcPr>
            <w:tcW w:w="4252" w:type="dxa"/>
          </w:tcPr>
          <w:p w14:paraId="554FA01E" w14:textId="77777777" w:rsidR="00293670" w:rsidRDefault="0072321A">
            <w:r>
              <w:rPr>
                <w:sz w:val="19"/>
              </w:rPr>
              <w:t>Un servicio por módulo (usuarios, solicitudes, ventas, posventa), con API gateway y mensajería.</w:t>
            </w:r>
          </w:p>
        </w:tc>
      </w:tr>
      <w:tr w:rsidR="00293670" w14:paraId="77E5868B" w14:textId="77777777">
        <w:trPr>
          <w:jc w:val="center"/>
        </w:trPr>
        <w:tc>
          <w:tcPr>
            <w:tcW w:w="567" w:type="dxa"/>
          </w:tcPr>
          <w:p w14:paraId="288C77F0" w14:textId="77777777" w:rsidR="00293670" w:rsidRDefault="0072321A">
            <w:r>
              <w:rPr>
                <w:sz w:val="19"/>
              </w:rPr>
              <w:t>C</w:t>
            </w:r>
          </w:p>
        </w:tc>
        <w:tc>
          <w:tcPr>
            <w:tcW w:w="4252" w:type="dxa"/>
          </w:tcPr>
          <w:p w14:paraId="2FE1F28D" w14:textId="77777777" w:rsidR="00293670" w:rsidRDefault="0072321A">
            <w:r>
              <w:rPr>
                <w:sz w:val="19"/>
              </w:rPr>
              <w:t>Extensión dentro de SAP (add-on SDK / UI API)</w:t>
            </w:r>
          </w:p>
        </w:tc>
        <w:tc>
          <w:tcPr>
            <w:tcW w:w="4252" w:type="dxa"/>
          </w:tcPr>
          <w:p w14:paraId="0A22E630" w14:textId="77777777" w:rsidR="00293670" w:rsidRDefault="0072321A">
            <w:r>
              <w:rPr>
                <w:sz w:val="19"/>
              </w:rPr>
              <w:t>Formularios y validaciones programados dentro del cliente de SAP Business One.</w:t>
            </w:r>
          </w:p>
        </w:tc>
      </w:tr>
      <w:tr w:rsidR="00293670" w14:paraId="5EBFB06A" w14:textId="77777777">
        <w:trPr>
          <w:jc w:val="center"/>
        </w:trPr>
        <w:tc>
          <w:tcPr>
            <w:tcW w:w="567" w:type="dxa"/>
          </w:tcPr>
          <w:p w14:paraId="3B676ACC" w14:textId="77777777" w:rsidR="00293670" w:rsidRDefault="0072321A">
            <w:r>
              <w:rPr>
                <w:sz w:val="19"/>
              </w:rPr>
              <w:t>D</w:t>
            </w:r>
          </w:p>
        </w:tc>
        <w:tc>
          <w:tcPr>
            <w:tcW w:w="4252" w:type="dxa"/>
          </w:tcPr>
          <w:p w14:paraId="0978E7F5" w14:textId="77777777" w:rsidR="00293670" w:rsidRDefault="0072321A">
            <w:r>
              <w:rPr>
                <w:sz w:val="19"/>
              </w:rPr>
              <w:t>Plataforma low-code (Power Apps + Power Automate / SharePoint)</w:t>
            </w:r>
          </w:p>
        </w:tc>
        <w:tc>
          <w:tcPr>
            <w:tcW w:w="4252" w:type="dxa"/>
          </w:tcPr>
          <w:p w14:paraId="7E675F4B" w14:textId="77777777" w:rsidR="00293670" w:rsidRDefault="0072321A">
            <w:r>
              <w:rPr>
                <w:sz w:val="19"/>
              </w:rPr>
              <w:t>Formularios y flujos de aprobación configurados en una plataforma comercial.</w:t>
            </w:r>
          </w:p>
        </w:tc>
      </w:tr>
      <w:tr w:rsidR="00293670" w14:paraId="2A06F8E6" w14:textId="77777777">
        <w:trPr>
          <w:jc w:val="center"/>
        </w:trPr>
        <w:tc>
          <w:tcPr>
            <w:tcW w:w="567" w:type="dxa"/>
          </w:tcPr>
          <w:p w14:paraId="7ADFA932" w14:textId="77777777" w:rsidR="00293670" w:rsidRDefault="0072321A">
            <w:r>
              <w:rPr>
                <w:sz w:val="19"/>
              </w:rPr>
              <w:t>E</w:t>
            </w:r>
          </w:p>
        </w:tc>
        <w:tc>
          <w:tcPr>
            <w:tcW w:w="4252" w:type="dxa"/>
          </w:tcPr>
          <w:p w14:paraId="716AE96F" w14:textId="77777777" w:rsidR="00293670" w:rsidRDefault="0072321A">
            <w:r>
              <w:rPr>
                <w:sz w:val="19"/>
              </w:rPr>
              <w:t>Planillas compartidas + correo con reglas</w:t>
            </w:r>
          </w:p>
        </w:tc>
        <w:tc>
          <w:tcPr>
            <w:tcW w:w="4252" w:type="dxa"/>
          </w:tcPr>
          <w:p w14:paraId="2D8A3459" w14:textId="77777777" w:rsidR="00293670" w:rsidRDefault="0072321A">
            <w:r>
              <w:rPr>
                <w:sz w:val="19"/>
              </w:rPr>
              <w:t>Mejorar el proceso actual con planillas en la nube y reglas de correo.</w:t>
            </w:r>
          </w:p>
        </w:tc>
      </w:tr>
    </w:tbl>
    <w:p w14:paraId="68875CBB" w14:textId="77777777" w:rsidR="00293670" w:rsidRDefault="00293670"/>
    <w:p w14:paraId="2BFD4F39" w14:textId="77777777" w:rsidR="00293670" w:rsidRDefault="0072321A">
      <w:pPr>
        <w:pStyle w:val="Ttulo2"/>
      </w:pPr>
      <w:bookmarkStart w:id="4" w:name="_Toc241577812"/>
      <w:r>
        <w:t>5. Criterios y matriz de evaluación</w:t>
      </w:r>
      <w:bookmarkEnd w:id="4"/>
    </w:p>
    <w:p w14:paraId="2FD4F6A7" w14:textId="77777777" w:rsidR="00293670" w:rsidRDefault="0072321A">
      <w:r>
        <w:t>Escala de 1 (muy malo) a 5 (muy bueno). Puntaje = Σ (peso × nota).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4439"/>
        <w:gridCol w:w="772"/>
        <w:gridCol w:w="772"/>
        <w:gridCol w:w="772"/>
        <w:gridCol w:w="772"/>
        <w:gridCol w:w="772"/>
        <w:gridCol w:w="772"/>
      </w:tblGrid>
      <w:tr w:rsidR="00293670" w14:paraId="2B4AA23A" w14:textId="77777777">
        <w:trPr>
          <w:tblHeader/>
          <w:jc w:val="center"/>
        </w:trPr>
        <w:tc>
          <w:tcPr>
            <w:tcW w:w="4439" w:type="dxa"/>
            <w:tcBorders>
              <w:bottom w:val="single" w:sz="18" w:space="0" w:color="F7A81B"/>
            </w:tcBorders>
            <w:shd w:val="clear" w:color="auto" w:fill="1C3557"/>
          </w:tcPr>
          <w:p w14:paraId="1807404F" w14:textId="77777777" w:rsidR="00293670" w:rsidRDefault="0072321A">
            <w:r>
              <w:rPr>
                <w:b/>
                <w:sz w:val="19"/>
                <w:color w:val="FFFFFF"/>
              </w:rPr>
              <w:t>Criterio</w:t>
            </w:r>
          </w:p>
        </w:tc>
        <w:tc>
          <w:tcPr>
            <w:tcW w:w="772" w:type="dxa"/>
            <w:tcBorders>
              <w:bottom w:val="single" w:sz="18" w:space="0" w:color="F7A81B"/>
            </w:tcBorders>
            <w:shd w:val="clear" w:color="auto" w:fill="1C3557"/>
          </w:tcPr>
          <w:p w14:paraId="693ACFCB" w14:textId="77777777" w:rsidR="00293670" w:rsidRDefault="0072321A">
            <w:r>
              <w:rPr>
                <w:b/>
                <w:sz w:val="19"/>
                <w:color w:val="FFFFFF"/>
              </w:rPr>
              <w:t>Peso</w:t>
            </w:r>
          </w:p>
        </w:tc>
        <w:tc>
          <w:tcPr>
            <w:tcW w:w="772" w:type="dxa"/>
            <w:tcBorders>
              <w:bottom w:val="single" w:sz="18" w:space="0" w:color="F7A81B"/>
            </w:tcBorders>
            <w:shd w:val="clear" w:color="auto" w:fill="1C3557"/>
          </w:tcPr>
          <w:p w14:paraId="10428853" w14:textId="77777777" w:rsidR="00293670" w:rsidRDefault="0072321A">
            <w:r>
              <w:rPr>
                <w:b/>
                <w:sz w:val="19"/>
                <w:color w:val="FFFFFF"/>
              </w:rPr>
              <w:t>A</w:t>
            </w:r>
          </w:p>
        </w:tc>
        <w:tc>
          <w:tcPr>
            <w:tcW w:w="772" w:type="dxa"/>
            <w:tcBorders>
              <w:bottom w:val="single" w:sz="18" w:space="0" w:color="F7A81B"/>
            </w:tcBorders>
            <w:shd w:val="clear" w:color="auto" w:fill="1C3557"/>
          </w:tcPr>
          <w:p w14:paraId="63748901" w14:textId="77777777" w:rsidR="00293670" w:rsidRDefault="0072321A">
            <w:r>
              <w:rPr>
                <w:b/>
                <w:sz w:val="19"/>
                <w:color w:val="FFFFFF"/>
              </w:rPr>
              <w:t>B</w:t>
            </w:r>
          </w:p>
        </w:tc>
        <w:tc>
          <w:tcPr>
            <w:tcW w:w="772" w:type="dxa"/>
            <w:tcBorders>
              <w:bottom w:val="single" w:sz="18" w:space="0" w:color="F7A81B"/>
            </w:tcBorders>
            <w:shd w:val="clear" w:color="auto" w:fill="1C3557"/>
          </w:tcPr>
          <w:p w14:paraId="08B8D5B1" w14:textId="77777777" w:rsidR="00293670" w:rsidRDefault="0072321A">
            <w:r>
              <w:rPr>
                <w:b/>
                <w:sz w:val="19"/>
                <w:color w:val="FFFFFF"/>
              </w:rPr>
              <w:t>C</w:t>
            </w:r>
          </w:p>
        </w:tc>
        <w:tc>
          <w:tcPr>
            <w:tcW w:w="772" w:type="dxa"/>
            <w:tcBorders>
              <w:bottom w:val="single" w:sz="18" w:space="0" w:color="F7A81B"/>
            </w:tcBorders>
            <w:shd w:val="clear" w:color="auto" w:fill="1C3557"/>
          </w:tcPr>
          <w:p w14:paraId="35EA911D" w14:textId="77777777" w:rsidR="00293670" w:rsidRDefault="0072321A">
            <w:r>
              <w:rPr>
                <w:b/>
                <w:sz w:val="19"/>
                <w:color w:val="FFFFFF"/>
              </w:rPr>
              <w:t>D</w:t>
            </w:r>
          </w:p>
        </w:tc>
        <w:tc>
          <w:tcPr>
            <w:tcW w:w="772" w:type="dxa"/>
            <w:tcBorders>
              <w:bottom w:val="single" w:sz="18" w:space="0" w:color="F7A81B"/>
            </w:tcBorders>
            <w:shd w:val="clear" w:color="auto" w:fill="1C3557"/>
          </w:tcPr>
          <w:p w14:paraId="02CDC6A7" w14:textId="77777777" w:rsidR="00293670" w:rsidRDefault="0072321A">
            <w:r>
              <w:rPr>
                <w:b/>
                <w:sz w:val="19"/>
                <w:color w:val="FFFFFF"/>
              </w:rPr>
              <w:t>E</w:t>
            </w:r>
          </w:p>
        </w:tc>
      </w:tr>
      <w:tr w:rsidR="00293670" w14:paraId="2AF24116" w14:textId="77777777">
        <w:trPr>
          <w:jc w:val="center"/>
        </w:trPr>
        <w:tc>
          <w:tcPr>
            <w:tcW w:w="4439" w:type="dxa"/>
          </w:tcPr>
          <w:p w14:paraId="693E4F55" w14:textId="77777777" w:rsidR="00293670" w:rsidRDefault="0072321A">
            <w:r>
              <w:rPr>
                <w:sz w:val="19"/>
              </w:rPr>
              <w:t>Integración confiable con SAP B1</w:t>
            </w:r>
          </w:p>
        </w:tc>
        <w:tc>
          <w:tcPr>
            <w:tcW w:w="772" w:type="dxa"/>
          </w:tcPr>
          <w:p w14:paraId="16764C91" w14:textId="77777777" w:rsidR="00293670" w:rsidRDefault="0072321A">
            <w:r>
              <w:rPr>
                <w:sz w:val="19"/>
              </w:rPr>
              <w:t>20 %</w:t>
            </w:r>
          </w:p>
        </w:tc>
        <w:tc>
          <w:tcPr>
            <w:tcW w:w="772" w:type="dxa"/>
          </w:tcPr>
          <w:p w14:paraId="5364249A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43DCFE30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101053E7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5D6F7DF0" w14:textId="77777777" w:rsidR="00293670" w:rsidRDefault="0072321A">
            <w:r>
              <w:rPr>
                <w:sz w:val="19"/>
              </w:rPr>
              <w:t>3</w:t>
            </w:r>
          </w:p>
        </w:tc>
        <w:tc>
          <w:tcPr>
            <w:tcW w:w="772" w:type="dxa"/>
          </w:tcPr>
          <w:p w14:paraId="193F42CC" w14:textId="77777777" w:rsidR="00293670" w:rsidRDefault="0072321A">
            <w:r>
              <w:rPr>
                <w:sz w:val="19"/>
              </w:rPr>
              <w:t>1</w:t>
            </w:r>
          </w:p>
        </w:tc>
      </w:tr>
      <w:tr w:rsidR="00293670" w14:paraId="5F02F95E" w14:textId="77777777">
        <w:trPr>
          <w:jc w:val="center"/>
        </w:trPr>
        <w:tc>
          <w:tcPr>
            <w:tcW w:w="4439" w:type="dxa"/>
          </w:tcPr>
          <w:p w14:paraId="2AB7AC94" w14:textId="77777777" w:rsidR="00293670" w:rsidRDefault="0072321A">
            <w:r>
              <w:rPr>
                <w:sz w:val="19"/>
              </w:rPr>
              <w:t>Trazabilidad y auditoría</w:t>
            </w:r>
          </w:p>
        </w:tc>
        <w:tc>
          <w:tcPr>
            <w:tcW w:w="772" w:type="dxa"/>
          </w:tcPr>
          <w:p w14:paraId="63647D75" w14:textId="77777777" w:rsidR="00293670" w:rsidRDefault="0072321A">
            <w:r>
              <w:rPr>
                <w:sz w:val="19"/>
              </w:rPr>
              <w:t>15 %</w:t>
            </w:r>
          </w:p>
        </w:tc>
        <w:tc>
          <w:tcPr>
            <w:tcW w:w="772" w:type="dxa"/>
          </w:tcPr>
          <w:p w14:paraId="212DED96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7A006589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7C4434FF" w14:textId="77777777" w:rsidR="00293670" w:rsidRDefault="0072321A">
            <w:r>
              <w:rPr>
                <w:sz w:val="19"/>
              </w:rPr>
              <w:t>3</w:t>
            </w:r>
          </w:p>
        </w:tc>
        <w:tc>
          <w:tcPr>
            <w:tcW w:w="772" w:type="dxa"/>
          </w:tcPr>
          <w:p w14:paraId="5FB22122" w14:textId="77777777" w:rsidR="00293670" w:rsidRDefault="0072321A">
            <w:r>
              <w:rPr>
                <w:sz w:val="19"/>
              </w:rPr>
              <w:t>4</w:t>
            </w:r>
          </w:p>
        </w:tc>
        <w:tc>
          <w:tcPr>
            <w:tcW w:w="772" w:type="dxa"/>
          </w:tcPr>
          <w:p w14:paraId="4FADF0FD" w14:textId="77777777" w:rsidR="00293670" w:rsidRDefault="0072321A">
            <w:r>
              <w:rPr>
                <w:sz w:val="19"/>
              </w:rPr>
              <w:t>1</w:t>
            </w:r>
          </w:p>
        </w:tc>
      </w:tr>
      <w:tr w:rsidR="00293670" w14:paraId="4D876303" w14:textId="77777777">
        <w:trPr>
          <w:jc w:val="center"/>
        </w:trPr>
        <w:tc>
          <w:tcPr>
            <w:tcW w:w="4439" w:type="dxa"/>
          </w:tcPr>
          <w:p w14:paraId="102574BA" w14:textId="77777777" w:rsidR="00293670" w:rsidRDefault="0072321A">
            <w:r>
              <w:rPr>
                <w:sz w:val="19"/>
              </w:rPr>
              <w:t>Seguridad y control de acceso fino</w:t>
            </w:r>
          </w:p>
        </w:tc>
        <w:tc>
          <w:tcPr>
            <w:tcW w:w="772" w:type="dxa"/>
          </w:tcPr>
          <w:p w14:paraId="07FBB46D" w14:textId="77777777" w:rsidR="00293670" w:rsidRDefault="0072321A">
            <w:r>
              <w:rPr>
                <w:sz w:val="19"/>
              </w:rPr>
              <w:t>15 %</w:t>
            </w:r>
          </w:p>
        </w:tc>
        <w:tc>
          <w:tcPr>
            <w:tcW w:w="772" w:type="dxa"/>
          </w:tcPr>
          <w:p w14:paraId="5E457D8E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2AEEA720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208E37BD" w14:textId="77777777" w:rsidR="00293670" w:rsidRDefault="0072321A">
            <w:r>
              <w:rPr>
                <w:sz w:val="19"/>
              </w:rPr>
              <w:t>3</w:t>
            </w:r>
          </w:p>
        </w:tc>
        <w:tc>
          <w:tcPr>
            <w:tcW w:w="772" w:type="dxa"/>
          </w:tcPr>
          <w:p w14:paraId="0AFD2195" w14:textId="77777777" w:rsidR="00293670" w:rsidRDefault="0072321A">
            <w:r>
              <w:rPr>
                <w:sz w:val="19"/>
              </w:rPr>
              <w:t>4</w:t>
            </w:r>
          </w:p>
        </w:tc>
        <w:tc>
          <w:tcPr>
            <w:tcW w:w="772" w:type="dxa"/>
          </w:tcPr>
          <w:p w14:paraId="2BFE1564" w14:textId="77777777" w:rsidR="00293670" w:rsidRDefault="0072321A">
            <w:r>
              <w:rPr>
                <w:sz w:val="19"/>
              </w:rPr>
              <w:t>1</w:t>
            </w:r>
          </w:p>
        </w:tc>
      </w:tr>
      <w:tr w:rsidR="00293670" w14:paraId="7B007104" w14:textId="77777777">
        <w:trPr>
          <w:jc w:val="center"/>
        </w:trPr>
        <w:tc>
          <w:tcPr>
            <w:tcW w:w="4439" w:type="dxa"/>
          </w:tcPr>
          <w:p w14:paraId="5DEE4115" w14:textId="77777777" w:rsidR="00293670" w:rsidRDefault="0072321A">
            <w:r>
              <w:rPr>
                <w:sz w:val="19"/>
              </w:rPr>
              <w:t>Costo (licencias e infraestructura)</w:t>
            </w:r>
          </w:p>
        </w:tc>
        <w:tc>
          <w:tcPr>
            <w:tcW w:w="772" w:type="dxa"/>
          </w:tcPr>
          <w:p w14:paraId="1843980D" w14:textId="77777777" w:rsidR="00293670" w:rsidRDefault="0072321A">
            <w:r>
              <w:rPr>
                <w:sz w:val="19"/>
              </w:rPr>
              <w:t>15 %</w:t>
            </w:r>
          </w:p>
        </w:tc>
        <w:tc>
          <w:tcPr>
            <w:tcW w:w="772" w:type="dxa"/>
          </w:tcPr>
          <w:p w14:paraId="742CE0E5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78BC978A" w14:textId="77777777" w:rsidR="00293670" w:rsidRDefault="0072321A">
            <w:r>
              <w:rPr>
                <w:sz w:val="19"/>
              </w:rPr>
              <w:t>3</w:t>
            </w:r>
          </w:p>
        </w:tc>
        <w:tc>
          <w:tcPr>
            <w:tcW w:w="772" w:type="dxa"/>
          </w:tcPr>
          <w:p w14:paraId="760E8E21" w14:textId="77777777" w:rsidR="00293670" w:rsidRDefault="0072321A">
            <w:r>
              <w:rPr>
                <w:sz w:val="19"/>
              </w:rPr>
              <w:t>2</w:t>
            </w:r>
          </w:p>
        </w:tc>
        <w:tc>
          <w:tcPr>
            <w:tcW w:w="772" w:type="dxa"/>
          </w:tcPr>
          <w:p w14:paraId="276F71B7" w14:textId="77777777" w:rsidR="00293670" w:rsidRDefault="0072321A">
            <w:r>
              <w:rPr>
                <w:sz w:val="19"/>
              </w:rPr>
              <w:t>2</w:t>
            </w:r>
          </w:p>
        </w:tc>
        <w:tc>
          <w:tcPr>
            <w:tcW w:w="772" w:type="dxa"/>
          </w:tcPr>
          <w:p w14:paraId="796A3858" w14:textId="77777777" w:rsidR="00293670" w:rsidRDefault="0072321A">
            <w:r>
              <w:rPr>
                <w:sz w:val="19"/>
              </w:rPr>
              <w:t>5</w:t>
            </w:r>
          </w:p>
        </w:tc>
      </w:tr>
      <w:tr w:rsidR="00293670" w14:paraId="10A442B9" w14:textId="77777777">
        <w:trPr>
          <w:jc w:val="center"/>
        </w:trPr>
        <w:tc>
          <w:tcPr>
            <w:tcW w:w="4439" w:type="dxa"/>
          </w:tcPr>
          <w:p w14:paraId="5AFC99C4" w14:textId="77777777" w:rsidR="00293670" w:rsidRDefault="0072321A">
            <w:r>
              <w:rPr>
                <w:sz w:val="19"/>
              </w:rPr>
              <w:t>Complejidad para un equipo de 3 en un semestre</w:t>
            </w:r>
          </w:p>
        </w:tc>
        <w:tc>
          <w:tcPr>
            <w:tcW w:w="772" w:type="dxa"/>
          </w:tcPr>
          <w:p w14:paraId="27A3E306" w14:textId="77777777" w:rsidR="00293670" w:rsidRDefault="0072321A">
            <w:r>
              <w:rPr>
                <w:sz w:val="19"/>
              </w:rPr>
              <w:t>15 %</w:t>
            </w:r>
          </w:p>
        </w:tc>
        <w:tc>
          <w:tcPr>
            <w:tcW w:w="772" w:type="dxa"/>
          </w:tcPr>
          <w:p w14:paraId="55492975" w14:textId="77777777" w:rsidR="00293670" w:rsidRDefault="0072321A">
            <w:r>
              <w:rPr>
                <w:sz w:val="19"/>
              </w:rPr>
              <w:t>4</w:t>
            </w:r>
          </w:p>
        </w:tc>
        <w:tc>
          <w:tcPr>
            <w:tcW w:w="772" w:type="dxa"/>
          </w:tcPr>
          <w:p w14:paraId="72C843E5" w14:textId="77777777" w:rsidR="00293670" w:rsidRDefault="0072321A">
            <w:r>
              <w:rPr>
                <w:sz w:val="19"/>
              </w:rPr>
              <w:t>1</w:t>
            </w:r>
          </w:p>
        </w:tc>
        <w:tc>
          <w:tcPr>
            <w:tcW w:w="772" w:type="dxa"/>
          </w:tcPr>
          <w:p w14:paraId="07E19298" w14:textId="77777777" w:rsidR="00293670" w:rsidRDefault="0072321A">
            <w:r>
              <w:rPr>
                <w:sz w:val="19"/>
              </w:rPr>
              <w:t>2</w:t>
            </w:r>
          </w:p>
        </w:tc>
        <w:tc>
          <w:tcPr>
            <w:tcW w:w="772" w:type="dxa"/>
          </w:tcPr>
          <w:p w14:paraId="73C181FF" w14:textId="77777777" w:rsidR="00293670" w:rsidRDefault="0072321A">
            <w:r>
              <w:rPr>
                <w:sz w:val="19"/>
              </w:rPr>
              <w:t>4</w:t>
            </w:r>
          </w:p>
        </w:tc>
        <w:tc>
          <w:tcPr>
            <w:tcW w:w="772" w:type="dxa"/>
          </w:tcPr>
          <w:p w14:paraId="61A4F6FD" w14:textId="77777777" w:rsidR="00293670" w:rsidRDefault="0072321A">
            <w:r>
              <w:rPr>
                <w:sz w:val="19"/>
              </w:rPr>
              <w:t>5</w:t>
            </w:r>
          </w:p>
        </w:tc>
      </w:tr>
      <w:tr w:rsidR="00293670" w14:paraId="3D2BD517" w14:textId="77777777">
        <w:trPr>
          <w:jc w:val="center"/>
        </w:trPr>
        <w:tc>
          <w:tcPr>
            <w:tcW w:w="4439" w:type="dxa"/>
          </w:tcPr>
          <w:p w14:paraId="08A05B86" w14:textId="77777777" w:rsidR="00293670" w:rsidRDefault="0072321A">
            <w:r>
              <w:rPr>
                <w:sz w:val="19"/>
              </w:rPr>
              <w:t>Mantenibilidad y pruebas automatizadas</w:t>
            </w:r>
          </w:p>
        </w:tc>
        <w:tc>
          <w:tcPr>
            <w:tcW w:w="772" w:type="dxa"/>
          </w:tcPr>
          <w:p w14:paraId="0AE3CC85" w14:textId="77777777" w:rsidR="00293670" w:rsidRDefault="0072321A">
            <w:r>
              <w:rPr>
                <w:sz w:val="19"/>
              </w:rPr>
              <w:t>10 %</w:t>
            </w:r>
          </w:p>
        </w:tc>
        <w:tc>
          <w:tcPr>
            <w:tcW w:w="772" w:type="dxa"/>
          </w:tcPr>
          <w:p w14:paraId="6029BD91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3C5A46CE" w14:textId="77777777" w:rsidR="00293670" w:rsidRDefault="0072321A">
            <w:r>
              <w:rPr>
                <w:sz w:val="19"/>
              </w:rPr>
              <w:t>3</w:t>
            </w:r>
          </w:p>
        </w:tc>
        <w:tc>
          <w:tcPr>
            <w:tcW w:w="772" w:type="dxa"/>
          </w:tcPr>
          <w:p w14:paraId="6E5B3296" w14:textId="77777777" w:rsidR="00293670" w:rsidRDefault="0072321A">
            <w:r>
              <w:rPr>
                <w:sz w:val="19"/>
              </w:rPr>
              <w:t>2</w:t>
            </w:r>
          </w:p>
        </w:tc>
        <w:tc>
          <w:tcPr>
            <w:tcW w:w="772" w:type="dxa"/>
          </w:tcPr>
          <w:p w14:paraId="3BB097F5" w14:textId="77777777" w:rsidR="00293670" w:rsidRDefault="0072321A">
            <w:r>
              <w:rPr>
                <w:sz w:val="19"/>
              </w:rPr>
              <w:t>2</w:t>
            </w:r>
          </w:p>
        </w:tc>
        <w:tc>
          <w:tcPr>
            <w:tcW w:w="772" w:type="dxa"/>
          </w:tcPr>
          <w:p w14:paraId="00C26867" w14:textId="77777777" w:rsidR="00293670" w:rsidRDefault="0072321A">
            <w:r>
              <w:rPr>
                <w:sz w:val="19"/>
              </w:rPr>
              <w:t>1</w:t>
            </w:r>
          </w:p>
        </w:tc>
      </w:tr>
      <w:tr w:rsidR="00293670" w14:paraId="3A91A71C" w14:textId="77777777">
        <w:trPr>
          <w:jc w:val="center"/>
        </w:trPr>
        <w:tc>
          <w:tcPr>
            <w:tcW w:w="4439" w:type="dxa"/>
          </w:tcPr>
          <w:p w14:paraId="559AAA7F" w14:textId="77777777" w:rsidR="00293670" w:rsidRDefault="0072321A">
            <w:r>
              <w:rPr>
                <w:sz w:val="19"/>
              </w:rPr>
              <w:t>Usabilidad (web, móvil, sin cliente SAP)</w:t>
            </w:r>
          </w:p>
        </w:tc>
        <w:tc>
          <w:tcPr>
            <w:tcW w:w="772" w:type="dxa"/>
          </w:tcPr>
          <w:p w14:paraId="298BB8F5" w14:textId="77777777" w:rsidR="00293670" w:rsidRDefault="0072321A">
            <w:r>
              <w:rPr>
                <w:sz w:val="19"/>
              </w:rPr>
              <w:t>10 %</w:t>
            </w:r>
          </w:p>
        </w:tc>
        <w:tc>
          <w:tcPr>
            <w:tcW w:w="772" w:type="dxa"/>
          </w:tcPr>
          <w:p w14:paraId="70435B47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6311AF8C" w14:textId="77777777" w:rsidR="00293670" w:rsidRDefault="0072321A">
            <w:r>
              <w:rPr>
                <w:sz w:val="19"/>
              </w:rPr>
              <w:t>5</w:t>
            </w:r>
          </w:p>
        </w:tc>
        <w:tc>
          <w:tcPr>
            <w:tcW w:w="772" w:type="dxa"/>
          </w:tcPr>
          <w:p w14:paraId="38887855" w14:textId="77777777" w:rsidR="00293670" w:rsidRDefault="0072321A">
            <w:r>
              <w:rPr>
                <w:sz w:val="19"/>
              </w:rPr>
              <w:t>2</w:t>
            </w:r>
          </w:p>
        </w:tc>
        <w:tc>
          <w:tcPr>
            <w:tcW w:w="772" w:type="dxa"/>
          </w:tcPr>
          <w:p w14:paraId="667D32FD" w14:textId="77777777" w:rsidR="00293670" w:rsidRDefault="0072321A">
            <w:r>
              <w:rPr>
                <w:sz w:val="19"/>
              </w:rPr>
              <w:t>4</w:t>
            </w:r>
          </w:p>
        </w:tc>
        <w:tc>
          <w:tcPr>
            <w:tcW w:w="772" w:type="dxa"/>
          </w:tcPr>
          <w:p w14:paraId="6C19F324" w14:textId="77777777" w:rsidR="00293670" w:rsidRDefault="0072321A">
            <w:r>
              <w:rPr>
                <w:sz w:val="19"/>
              </w:rPr>
              <w:t>2</w:t>
            </w:r>
          </w:p>
        </w:tc>
      </w:tr>
      <w:tr w:rsidR="00293670" w14:paraId="7FB69F96" w14:textId="77777777">
        <w:trPr>
          <w:jc w:val="center"/>
        </w:trPr>
        <w:tc>
          <w:tcPr>
            <w:tcW w:w="4439" w:type="dxa"/>
          </w:tcPr>
          <w:p w14:paraId="00C4C0E8" w14:textId="77777777" w:rsidR="00293670" w:rsidRDefault="0072321A">
            <w:r>
              <w:rPr>
                <w:b/>
                <w:sz w:val="19"/>
              </w:rPr>
              <w:t>Total ponderado</w:t>
            </w:r>
          </w:p>
        </w:tc>
        <w:tc>
          <w:tcPr>
            <w:tcW w:w="772" w:type="dxa"/>
          </w:tcPr>
          <w:p w14:paraId="17292EB2" w14:textId="77777777" w:rsidR="00293670" w:rsidRDefault="0072321A">
            <w:r>
              <w:rPr>
                <w:b/>
                <w:sz w:val="19"/>
              </w:rPr>
              <w:t>100 %</w:t>
            </w:r>
          </w:p>
        </w:tc>
        <w:tc>
          <w:tcPr>
            <w:tcW w:w="772" w:type="dxa"/>
          </w:tcPr>
          <w:p w14:paraId="21F10ECD" w14:textId="77777777" w:rsidR="00293670" w:rsidRDefault="0072321A">
            <w:r>
              <w:rPr>
                <w:b/>
                <w:sz w:val="19"/>
              </w:rPr>
              <w:t>4,85</w:t>
            </w:r>
          </w:p>
        </w:tc>
        <w:tc>
          <w:tcPr>
            <w:tcW w:w="772" w:type="dxa"/>
          </w:tcPr>
          <w:p w14:paraId="37D18CED" w14:textId="77777777" w:rsidR="00293670" w:rsidRDefault="0072321A">
            <w:r>
              <w:rPr>
                <w:b/>
                <w:sz w:val="19"/>
              </w:rPr>
              <w:t>3,90</w:t>
            </w:r>
          </w:p>
        </w:tc>
        <w:tc>
          <w:tcPr>
            <w:tcW w:w="772" w:type="dxa"/>
          </w:tcPr>
          <w:p w14:paraId="7D183600" w14:textId="77777777" w:rsidR="00293670" w:rsidRDefault="0072321A">
            <w:r>
              <w:rPr>
                <w:b/>
                <w:sz w:val="19"/>
              </w:rPr>
              <w:t>2,90</w:t>
            </w:r>
          </w:p>
        </w:tc>
        <w:tc>
          <w:tcPr>
            <w:tcW w:w="772" w:type="dxa"/>
          </w:tcPr>
          <w:p w14:paraId="24DC94B0" w14:textId="77777777" w:rsidR="00293670" w:rsidRDefault="0072321A">
            <w:r>
              <w:rPr>
                <w:b/>
                <w:sz w:val="19"/>
              </w:rPr>
              <w:t>3,30</w:t>
            </w:r>
          </w:p>
        </w:tc>
        <w:tc>
          <w:tcPr>
            <w:tcW w:w="772" w:type="dxa"/>
          </w:tcPr>
          <w:p w14:paraId="3D40F2FD" w14:textId="77777777" w:rsidR="00293670" w:rsidRDefault="0072321A">
            <w:r>
              <w:rPr>
                <w:b/>
                <w:sz w:val="19"/>
              </w:rPr>
              <w:t>2,30</w:t>
            </w:r>
          </w:p>
        </w:tc>
      </w:tr>
    </w:tbl>
    <w:p w14:paraId="1C1528DE" w14:textId="77777777" w:rsidR="00293670" w:rsidRDefault="00293670"/>
    <w:p w14:paraId="72CD8B5C" w14:textId="77777777" w:rsidR="00293670" w:rsidRDefault="0072321A">
      <w:pPr>
        <w:pStyle w:val="Ttulo3"/>
      </w:pPr>
      <w:r>
        <w:t>5.1 Justificación de las notas</w:t>
      </w:r>
    </w:p>
    <w:p w14:paraId="526849E6" w14:textId="77777777" w:rsidR="00293670" w:rsidRDefault="0072321A">
      <w:pPr>
        <w:pStyle w:val="Listaconvietas"/>
      </w:pPr>
      <w:r>
        <w:rPr>
          <w:b/>
        </w:rPr>
        <w:t>A</w:t>
      </w:r>
      <w:r>
        <w:t xml:space="preserve"> obtiene el mejor equilibrio: integración oficial con SAP, control total sobre reglas, permisos e historial, sin costo de licencias y con tecnologías que el equipo domina. Su riesgo principal es que un monolito crezca sin orden, lo que se mitiga con módulos por dominio y pruebas.</w:t>
      </w:r>
    </w:p>
    <w:p w14:paraId="05E7D19A" w14:textId="77777777" w:rsidR="00293670" w:rsidRDefault="0072321A">
      <w:pPr>
        <w:pStyle w:val="Listaconvietas"/>
      </w:pPr>
      <w:r>
        <w:rPr>
          <w:b/>
        </w:rPr>
        <w:t>B</w:t>
      </w:r>
      <w:r>
        <w:t xml:space="preserve"> ofrece las mismas capacidades funcionales pero multiplica la infraestructura (despliegues, red, observabilidad, consistencia distribuida) sin un beneficio proporcional para la carga esperada (decenas de usuarios internos).</w:t>
      </w:r>
    </w:p>
    <w:p w14:paraId="2960BAA4" w14:textId="77777777" w:rsidR="00293670" w:rsidRDefault="0072321A">
      <w:pPr>
        <w:pStyle w:val="Listaconvietas"/>
      </w:pPr>
      <w:r>
        <w:rPr>
          <w:b/>
        </w:rPr>
        <w:t>C</w:t>
      </w:r>
      <w:r>
        <w:t xml:space="preserve"> integra perfecto con SAP, pero exige licencias del cliente SAP para cada usuario (incluidos autorizadores y posventa), no funciona en el teléfono y el desarrollo con el SDK es lento y difícil de probar automáticamente.</w:t>
      </w:r>
    </w:p>
    <w:p w14:paraId="7EE4FA2B" w14:textId="77777777" w:rsidR="00293670" w:rsidRDefault="0072321A">
      <w:pPr>
        <w:pStyle w:val="Listaconvietas"/>
      </w:pPr>
      <w:r>
        <w:rPr>
          <w:b/>
        </w:rPr>
        <w:t>D</w:t>
      </w:r>
      <w:r>
        <w:t xml:space="preserve"> permite formularios rápidos, pero la integración con Service Layer requiere conectores personalizados de pago, las reglas complejas (margen, comisión, stock, doble firma) son difíciles de expresar y probar, y agrega costo por usuario.</w:t>
      </w:r>
    </w:p>
    <w:p w14:paraId="315E4699" w14:textId="77777777" w:rsidR="00293670" w:rsidRDefault="0072321A">
      <w:pPr>
        <w:pStyle w:val="Listaconvietas"/>
      </w:pPr>
      <w:r>
        <w:rPr>
          <w:b/>
        </w:rPr>
        <w:lastRenderedPageBreak/>
        <w:t>E</w:t>
      </w:r>
      <w:r>
        <w:t xml:space="preserve"> no resuelve el problema: mantiene la dependencia del correo, sin control de acceso ni integración.</w:t>
      </w:r>
    </w:p>
    <w:p w14:paraId="08C7228B" w14:textId="77777777" w:rsidR="00293670" w:rsidRDefault="0072321A">
      <w:pPr>
        <w:pStyle w:val="Ttulo2"/>
      </w:pPr>
      <w:bookmarkStart w:id="5" w:name="_Toc241577813"/>
      <w:r>
        <w:t>6. Decisión</w:t>
      </w:r>
      <w:bookmarkEnd w:id="5"/>
    </w:p>
    <w:p w14:paraId="5A84E27F" w14:textId="77777777" w:rsidR="00293670" w:rsidRDefault="0072321A">
      <w:r>
        <w:t xml:space="preserve">Se adopta la </w:t>
      </w:r>
      <w:r>
        <w:rPr>
          <w:b/>
        </w:rPr>
        <w:t>alternativa A</w:t>
      </w:r>
      <w:r>
        <w:t xml:space="preserve">: </w:t>
      </w:r>
      <w:r>
        <w:rPr>
          <w:b/>
        </w:rPr>
        <w:t>monolito modular en Django</w:t>
      </w:r>
      <w:r>
        <w:t xml:space="preserve">, con escritura en SAP mediante </w:t>
      </w:r>
      <w:r>
        <w:rPr>
          <w:b/>
        </w:rPr>
        <w:t>Service Layer</w:t>
      </w:r>
      <w:r>
        <w:t xml:space="preserve">, lectura mediante una </w:t>
      </w:r>
      <w:r>
        <w:rPr>
          <w:b/>
        </w:rPr>
        <w:t>API propia sobre SAP HANA (FastAPI)</w:t>
      </w:r>
      <w:r>
        <w:t xml:space="preserve"> y una </w:t>
      </w:r>
      <w:r>
        <w:rPr>
          <w:b/>
        </w:rPr>
        <w:t>capa de simulación</w:t>
      </w:r>
      <w:r>
        <w:t xml:space="preserve"> de SAP para desarrollo, pruebas y demostración.</w:t>
      </w:r>
    </w:p>
    <w:p w14:paraId="36F1FE39" w14:textId="77777777" w:rsidR="00293670" w:rsidRDefault="0072321A">
      <w:pPr>
        <w:jc w:val="center"/>
      </w:pPr>
      <w:r>
        <w:rPr>
          <w:noProof/>
        </w:rPr>
        <w:drawing>
          <wp:inline distT="0" distB="0" distL="0" distR="0" wp14:anchorId="1B6BBFBC" wp14:editId="0FA73E81">
            <wp:extent cx="5760000" cy="2273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a8b9ade27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B39C" w14:textId="77777777" w:rsidR="00293670" w:rsidRDefault="0072321A">
      <w:pPr>
        <w:pStyle w:val="Ttulo2"/>
      </w:pPr>
      <w:bookmarkStart w:id="6" w:name="_Toc241577814"/>
      <w:r>
        <w:t>7. Registro de decisiones de arquitectura (ADR)</w:t>
      </w:r>
      <w:bookmarkEnd w:id="6"/>
    </w:p>
    <w:p w14:paraId="6EA15EE1" w14:textId="77777777" w:rsidR="00293670" w:rsidRDefault="0072321A">
      <w:pPr>
        <w:pStyle w:val="Ttulo3"/>
      </w:pPr>
      <w:r>
        <w:t>ADR-01 · Monolito modular en lugar de microservicios</w:t>
      </w:r>
    </w:p>
    <w:p w14:paraId="3FC1DDA4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3 desarrolladores, carga baja (usuarios internos), plazo de un semestre.</w:t>
      </w:r>
    </w:p>
    <w:p w14:paraId="0B60B8D2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una sola aplicación Django con apps por dominio (</w:t>
      </w:r>
      <w:r>
        <w:rPr>
          <w:rFonts w:ascii="Consolas" w:hAnsi="Consolas"/>
          <w:color w:val="1C3557"/>
          <w:sz w:val="19"/>
        </w:rPr>
        <w:t>usuarios</w:t>
      </w:r>
      <w:r>
        <w:t xml:space="preserve">, </w:t>
      </w:r>
      <w:r>
        <w:rPr>
          <w:rFonts w:ascii="Consolas" w:hAnsi="Consolas"/>
          <w:color w:val="1C3557"/>
          <w:sz w:val="19"/>
        </w:rPr>
        <w:t>permisos</w:t>
      </w:r>
      <w:r>
        <w:t xml:space="preserve">, </w:t>
      </w:r>
      <w:r>
        <w:rPr>
          <w:rFonts w:ascii="Consolas" w:hAnsi="Consolas"/>
          <w:color w:val="1C3557"/>
          <w:sz w:val="19"/>
        </w:rPr>
        <w:t>organizaciones</w:t>
      </w:r>
      <w:r>
        <w:t xml:space="preserve">, </w:t>
      </w:r>
      <w:r>
        <w:rPr>
          <w:rFonts w:ascii="Consolas" w:hAnsi="Consolas"/>
          <w:color w:val="1C3557"/>
          <w:sz w:val="19"/>
        </w:rPr>
        <w:t>sap</w:t>
      </w:r>
      <w:r>
        <w:t xml:space="preserve">, </w:t>
      </w:r>
      <w:r>
        <w:rPr>
          <w:rFonts w:ascii="Consolas" w:hAnsi="Consolas"/>
          <w:color w:val="1C3557"/>
          <w:sz w:val="19"/>
        </w:rPr>
        <w:t>notificaciones</w:t>
      </w:r>
      <w:r>
        <w:t>).</w:t>
      </w:r>
    </w:p>
    <w:p w14:paraId="189EF468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despliegue y transacciones simples; los módulos comparten base de datos. Si en el futuro un módulo necesita escalar por separado, su separación es viable porque sus fronteras ya están definidas.</w:t>
      </w:r>
    </w:p>
    <w:p w14:paraId="25130264" w14:textId="77777777" w:rsidR="00293670" w:rsidRDefault="0072321A">
      <w:pPr>
        <w:pStyle w:val="Ttulo3"/>
      </w:pPr>
      <w:r>
        <w:t>ADR-02 · Escritura en SAP solo por Service Layer</w:t>
      </w:r>
    </w:p>
    <w:p w14:paraId="654F6A2D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escribir directo en las tablas de HANA rompe la integridad de SAP y el soporte.</w:t>
      </w:r>
    </w:p>
    <w:p w14:paraId="32A934DD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toda creación o modificación en SAP (artículos, cotizaciones, órdenes, solicitudes de compra) usa el Service Layer, a través de un único punto de salida (</w:t>
      </w:r>
      <w:r>
        <w:rPr>
          <w:rFonts w:ascii="Consolas" w:hAnsi="Consolas"/>
          <w:color w:val="1C3557"/>
          <w:sz w:val="19"/>
        </w:rPr>
        <w:t>ServiceLayerClient._do</w:t>
      </w:r>
      <w:r>
        <w:t>) con pool de sesiones.</w:t>
      </w:r>
    </w:p>
    <w:p w14:paraId="205DC712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se respetan las validaciones de SAP; un único punto permite registrar cada llamada y activar el modo simulado sin tocar las vistas.</w:t>
      </w:r>
    </w:p>
    <w:p w14:paraId="48AACDA3" w14:textId="77777777" w:rsidR="00293670" w:rsidRDefault="0072321A">
      <w:pPr>
        <w:pStyle w:val="Ttulo3"/>
      </w:pPr>
      <w:r>
        <w:t>ADR-03 · Lectura por una API propia sobre HANA</w:t>
      </w:r>
    </w:p>
    <w:p w14:paraId="5B9FC6B9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las búsquedas (productos con stock por bodega, clientes con deuda) por Service Layer son lentas y requieren muchas llamadas.</w:t>
      </w:r>
    </w:p>
    <w:p w14:paraId="1B977F40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una API liviana en FastAPI con consultas SQL de solo lectura sobre HANA, autenticada con HMAC.</w:t>
      </w:r>
    </w:p>
    <w:p w14:paraId="1DF97E23" w14:textId="77777777" w:rsidR="00293670" w:rsidRDefault="0072321A">
      <w:pPr>
        <w:pStyle w:val="Listaconvietas"/>
      </w:pPr>
      <w:r>
        <w:rPr>
          <w:b/>
        </w:rPr>
        <w:lastRenderedPageBreak/>
        <w:t>Consecuencias:</w:t>
      </w:r>
      <w:r>
        <w:t xml:space="preserve"> búsquedas rápidas y un único formato para la plataforma; hay un componente más que desplegar y mantener.</w:t>
      </w:r>
    </w:p>
    <w:p w14:paraId="0768CDEC" w14:textId="77777777" w:rsidR="00293670" w:rsidRDefault="0072321A">
      <w:pPr>
        <w:pStyle w:val="Ttulo3"/>
      </w:pPr>
      <w:r>
        <w:t>ADR-04 · Nota de venta local antes de crearla en SAP</w:t>
      </w:r>
    </w:p>
    <w:p w14:paraId="5AB09BF8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una orden en SAP es un documento contable; autorizarla después de crearla obliga a anular documentos.</w:t>
      </w:r>
    </w:p>
    <w:p w14:paraId="445C4CA4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la nota de venta se guarda primero en la plataforma, pasa por la autorización (con doble firma por margen) y recién entonces se envía a SAP.</w:t>
      </w:r>
    </w:p>
    <w:p w14:paraId="23F4F75D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se corrige y audita antes de afectar SAP; el envío necesita control de concurrencia (reserva atómica) para no duplicar documentos.</w:t>
      </w:r>
    </w:p>
    <w:p w14:paraId="07C25EB7" w14:textId="77777777" w:rsidR="00293670" w:rsidRDefault="0072321A">
      <w:pPr>
        <w:pStyle w:val="Ttulo3"/>
      </w:pPr>
      <w:r>
        <w:t>ADR-05 · Modo SAP simulado</w:t>
      </w:r>
    </w:p>
    <w:p w14:paraId="46B8413C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el ambiente SAP de la empresa no siempre está disponible para desarrollo, pruebas ni para la presentación.</w:t>
      </w:r>
    </w:p>
    <w:p w14:paraId="25AB81D3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un simulador que responde con la misma forma que el Service Layer y la API de HANA, con datos ficticios y documentos persistentes; se activa con </w:t>
      </w:r>
      <w:r>
        <w:rPr>
          <w:rFonts w:ascii="Consolas" w:hAnsi="Consolas"/>
          <w:color w:val="1C3557"/>
          <w:sz w:val="19"/>
        </w:rPr>
        <w:t>SAP_MODO=simulado</w:t>
      </w:r>
      <w:r>
        <w:t>.</w:t>
      </w:r>
    </w:p>
    <w:p w14:paraId="3FA04C20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la plataforma se desarrolla, prueba y demuestra completa sin SAP; el simulador debe mantenerse alineado con las respuestas reales.</w:t>
      </w:r>
    </w:p>
    <w:p w14:paraId="0395449D" w14:textId="77777777" w:rsidR="00293670" w:rsidRDefault="0072321A">
      <w:pPr>
        <w:pStyle w:val="Ttulo3"/>
      </w:pPr>
      <w:r>
        <w:t>ADR-06 · Base de datos relacional con SQLite en desarrollo y PostgreSQL en producción</w:t>
      </w:r>
    </w:p>
    <w:p w14:paraId="1075FE79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ORM de Django, configurable por variables de entorno.</w:t>
      </w:r>
    </w:p>
    <w:p w14:paraId="19B02DB8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entorno local sin instalación de servidores; producción robusta.</w:t>
      </w:r>
    </w:p>
    <w:p w14:paraId="16D6A372" w14:textId="77777777" w:rsidR="00293670" w:rsidRDefault="0072321A">
      <w:pPr>
        <w:pStyle w:val="Ttulo3"/>
      </w:pPr>
      <w:r>
        <w:t>ADR-07 · Control de acceso por permisos (usuario ∪ área ∪ cargo) y grupos de autorizadores</w:t>
      </w:r>
    </w:p>
    <w:p w14:paraId="4348F759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permisos granulares heredables por área y cargo para "qué puede hacer", y grupos de Django para "quién autoriza cada proceso"; el menú y las vistas usan las mismas reglas.</w:t>
      </w:r>
    </w:p>
    <w:p w14:paraId="6145EE3E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administración sencilla por estructura organizacional; se evita mostrar opciones que luego se rechazan.</w:t>
      </w:r>
    </w:p>
    <w:p w14:paraId="52D1A35A" w14:textId="77777777" w:rsidR="00293670" w:rsidRDefault="0072321A">
      <w:pPr>
        <w:pStyle w:val="Ttulo3"/>
      </w:pPr>
      <w:r>
        <w:t>ADR-08 · Historial genérico de actividad</w:t>
      </w:r>
    </w:p>
    <w:p w14:paraId="4F74A3F0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un único modelo </w:t>
      </w:r>
      <w:r>
        <w:rPr>
          <w:rFonts w:ascii="Consolas" w:hAnsi="Consolas"/>
          <w:color w:val="1C3557"/>
          <w:sz w:val="19"/>
        </w:rPr>
        <w:t>RegistroActividad</w:t>
      </w:r>
      <w:r>
        <w:t xml:space="preserve"> con relación genérica para los tres procesos, más </w:t>
      </w:r>
      <w:r>
        <w:rPr>
          <w:rFonts w:ascii="Consolas" w:hAnsi="Consolas"/>
          <w:color w:val="1C3557"/>
          <w:sz w:val="19"/>
        </w:rPr>
        <w:t>RegistroSAP</w:t>
      </w:r>
      <w:r>
        <w:t xml:space="preserve"> para las llamadas a SAP.</w:t>
      </w:r>
    </w:p>
    <w:p w14:paraId="48C20BC6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trazabilidad uniforme y un solo registro de auditoría consultable.</w:t>
      </w:r>
    </w:p>
    <w:p w14:paraId="574A7FBF" w14:textId="77777777" w:rsidR="00293670" w:rsidRDefault="0072321A">
      <w:pPr>
        <w:pStyle w:val="Ttulo3"/>
      </w:pPr>
      <w:r>
        <w:t>ADR-09 · Notificaciones internas por consulta periódica (polling)</w:t>
      </w:r>
    </w:p>
    <w:p w14:paraId="6013B3E7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se necesitan avisos casi en tiempo real para decenas de usuarios.</w:t>
      </w:r>
    </w:p>
    <w:p w14:paraId="6EE985DF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la barra superior consulta un endpoint liviano cada 15 segundos.</w:t>
      </w:r>
    </w:p>
    <w:p w14:paraId="0FC1BDDE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simple y compatible con cualquier servidor; WebSockets queda como mejora futura si la carga crece.</w:t>
      </w:r>
    </w:p>
    <w:p w14:paraId="169D98E3" w14:textId="77777777" w:rsidR="00293670" w:rsidRDefault="0072321A">
      <w:pPr>
        <w:pStyle w:val="Ttulo3"/>
      </w:pPr>
      <w:r>
        <w:t>ADR-10 · Multiempresa por sesión</w:t>
      </w:r>
    </w:p>
    <w:p w14:paraId="36FEE886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la empresa activa (Marsella / Asland) se guarda en la sesión del servidor y determina a qué base de SAP va cada documento; los permisos de empresa se deducen de los vendedores del usuario.</w:t>
      </w:r>
    </w:p>
    <w:p w14:paraId="6C2B2F06" w14:textId="77777777" w:rsidR="00293670" w:rsidRDefault="0072321A">
      <w:pPr>
        <w:pStyle w:val="Listaconvietas"/>
      </w:pPr>
      <w:r>
        <w:rPr>
          <w:b/>
        </w:rPr>
        <w:lastRenderedPageBreak/>
        <w:t>Consecuencias:</w:t>
      </w:r>
      <w:r>
        <w:t xml:space="preserve"> un documento no puede terminar en la base equivocada por un dato del navegador.</w:t>
      </w:r>
    </w:p>
    <w:p w14:paraId="4FB7EAEC" w14:textId="77777777" w:rsidR="00293670" w:rsidRDefault="0072321A">
      <w:pPr>
        <w:pStyle w:val="Ttulo3"/>
      </w:pPr>
      <w:r>
        <w:t>ADR-11 · Despliegue en Windows Server 2016 con servidor WSGI Waitress</w:t>
      </w:r>
    </w:p>
    <w:p w14:paraId="5DBC2F62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los servidores disponibles para aplicaciones internas son Windows Server 2016; Gunicorn (habitual en Linux) no funciona en Windows.</w:t>
      </w:r>
    </w:p>
    <w:p w14:paraId="17729FAA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la plataforma Django se sirve con </w:t>
      </w:r>
      <w:r>
        <w:rPr>
          <w:b/>
        </w:rPr>
        <w:t>Waitress</w:t>
      </w:r>
      <w:r>
        <w:t xml:space="preserve"> (servidor WSGI en Python puro, compatible con Windows) y la API de consultas con </w:t>
      </w:r>
      <w:r>
        <w:rPr>
          <w:b/>
        </w:rPr>
        <w:t>Uvicorn</w:t>
      </w:r>
      <w:r>
        <w:t xml:space="preserve">; ambos se registran como </w:t>
      </w:r>
      <w:r>
        <w:rPr>
          <w:b/>
        </w:rPr>
        <w:t>servicios de Windows</w:t>
      </w:r>
      <w:r>
        <w:t xml:space="preserve"> para iniciar con el servidor. Los archivos estáticos los sirve WhiteNoise, sin necesidad de IIS.</w:t>
      </w:r>
    </w:p>
    <w:p w14:paraId="2364072A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no se requiere infraestructura nueva ni licencias; un eventual traslado a Linux solo cambia el servidor WSGI.</w:t>
      </w:r>
    </w:p>
    <w:p w14:paraId="4F7397E5" w14:textId="77777777" w:rsidR="00293670" w:rsidRDefault="0072321A">
      <w:pPr>
        <w:pStyle w:val="Ttulo3"/>
      </w:pPr>
      <w:r>
        <w:t>ADR-12 · Generación de PDF con respaldo sin dependencias nativas</w:t>
      </w:r>
    </w:p>
    <w:p w14:paraId="20970A87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WeasyPrint (generador principal del PDF de cotización) necesita librerías GTK que no vienen en Windows Server.</w:t>
      </w:r>
    </w:p>
    <w:p w14:paraId="5D7BAAD1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si WeasyPrint no puede cargarse, la plataforma genera el PDF con </w:t>
      </w:r>
      <w:r>
        <w:rPr>
          <w:b/>
        </w:rPr>
        <w:t>xhtml2pdf</w:t>
      </w:r>
      <w:r>
        <w:t xml:space="preserve"> (Python puro) usando una plantilla equivalente.</w:t>
      </w:r>
    </w:p>
    <w:p w14:paraId="6C550298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el PDF funciona en cualquier servidor sin instalaciones adicionales; hay dos plantillas del PDF que deben mantenerse alineadas.</w:t>
      </w:r>
    </w:p>
    <w:p w14:paraId="145165ED" w14:textId="77777777" w:rsidR="00293670" w:rsidRDefault="0072321A">
      <w:pPr>
        <w:pStyle w:val="Ttulo3"/>
      </w:pPr>
      <w:r>
        <w:t>ADR-13 · Conexión de lectura a HANA desde Windows</w:t>
      </w:r>
    </w:p>
    <w:p w14:paraId="11BFED5F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HANA corre en SUSE; la API de lectura corre en Windows Server.</w:t>
      </w:r>
    </w:p>
    <w:p w14:paraId="0B0218CD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la API usa el cliente oficial de SAP para Python (</w:t>
      </w:r>
      <w:r>
        <w:rPr>
          <w:rFonts w:ascii="Consolas" w:hAnsi="Consolas"/>
          <w:color w:val="1C3557"/>
          <w:sz w:val="19"/>
        </w:rPr>
        <w:t>hdbcli</w:t>
      </w:r>
      <w:r>
        <w:t xml:space="preserve">) por red, con un usuario de base de datos de </w:t>
      </w:r>
      <w:r>
        <w:rPr>
          <w:b/>
        </w:rPr>
        <w:t>solo lectura</w:t>
      </w:r>
      <w:r>
        <w:t xml:space="preserve"> y consultas parametrizadas.</w:t>
      </w:r>
    </w:p>
    <w:p w14:paraId="6A7E284B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no se instala nada en los servidores de SAP; la API no puede modificar datos de HANA aunque se viera comprometida.</w:t>
      </w:r>
    </w:p>
    <w:p w14:paraId="04DCAB74" w14:textId="77777777" w:rsidR="00293670" w:rsidRDefault="0072321A">
      <w:pPr>
        <w:pStyle w:val="Ttulo3"/>
      </w:pPr>
      <w:r>
        <w:t>ADR-14 · Pruebas integradas sobre bases SAP Test refrescadas semanalmente</w:t>
      </w:r>
    </w:p>
    <w:p w14:paraId="20AA2B54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probar contra SAP real crea documentos (artículos, órdenes) que no pueden quedar en la base productiva; los datos de prueba deben parecerse a los reales.</w:t>
      </w:r>
    </w:p>
    <w:p w14:paraId="3B4CF31B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las pruebas con el Service Layer se hacen sobre las </w:t>
      </w:r>
      <w:r>
        <w:rPr>
          <w:b/>
        </w:rPr>
        <w:t>bases Test</w:t>
      </w:r>
      <w:r>
        <w:t xml:space="preserve"> de cada empresa, que TI refresca </w:t>
      </w:r>
      <w:r>
        <w:rPr>
          <w:b/>
        </w:rPr>
        <w:t>cada lunes</w:t>
      </w:r>
      <w:r>
        <w:t xml:space="preserve"> desde producción. La base productiva </w:t>
      </w:r>
      <w:r>
        <w:rPr>
          <w:b/>
        </w:rPr>
        <w:t>no se toca</w:t>
      </w:r>
      <w:r>
        <w:t xml:space="preserve"> hasta que la implementación esté certificada. El ambiente se elige solo por configuración (</w:t>
      </w:r>
      <w:r>
        <w:rPr>
          <w:rFonts w:ascii="Consolas" w:hAnsi="Consolas"/>
          <w:color w:val="1C3557"/>
          <w:sz w:val="19"/>
        </w:rPr>
        <w:t>SAP_COMPANY</w:t>
      </w:r>
      <w:r>
        <w:t xml:space="preserve">, </w:t>
      </w:r>
      <w:r>
        <w:rPr>
          <w:rFonts w:ascii="Consolas" w:hAnsi="Consolas"/>
          <w:color w:val="1C3557"/>
          <w:sz w:val="19"/>
        </w:rPr>
        <w:t>SAP_COMPANY_ASLAND</w:t>
      </w:r>
      <w:r>
        <w:t>).</w:t>
      </w:r>
    </w:p>
    <w:p w14:paraId="1217387D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pruebas con datos actuales y sin riesgo para la operación; los documentos de prueba desaparecen con cada refresco, por lo que las pruebas integradas deben repetirse después de cada lunes si se necesita evidencia.</w:t>
      </w:r>
    </w:p>
    <w:p w14:paraId="1FDED98C" w14:textId="77777777" w:rsidR="00293670" w:rsidRDefault="0072321A">
      <w:pPr>
        <w:pStyle w:val="Ttulo3"/>
      </w:pPr>
      <w:r>
        <w:t>ADR-15 · Archivos subidos entregados por vistas con permiso</w:t>
      </w:r>
    </w:p>
    <w:p w14:paraId="434C83EF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los adjuntos de las solicitudes de código y las evidencias de posventa se publicaban en </w:t>
      </w:r>
      <w:r>
        <w:rPr>
          <w:rFonts w:ascii="Consolas" w:hAnsi="Consolas"/>
          <w:color w:val="1C3557"/>
          <w:sz w:val="19"/>
        </w:rPr>
        <w:t>/media/</w:t>
      </w:r>
      <w:r>
        <w:t xml:space="preserve">: cualquiera con la URL podía abrirlos, incluso sin sesión (CP-070, RNF-02), y con </w:t>
      </w:r>
      <w:r>
        <w:rPr>
          <w:rFonts w:ascii="Consolas" w:hAnsi="Consolas"/>
          <w:color w:val="1C3557"/>
          <w:sz w:val="19"/>
        </w:rPr>
        <w:t>DEBUG=False</w:t>
      </w:r>
      <w:r>
        <w:t xml:space="preserve"> no se servían.</w:t>
      </w:r>
    </w:p>
    <w:p w14:paraId="696E4AE1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los archivos siguen en </w:t>
      </w:r>
      <w:r>
        <w:rPr>
          <w:rFonts w:ascii="Consolas" w:hAnsi="Consolas"/>
          <w:color w:val="1C3557"/>
          <w:sz w:val="19"/>
        </w:rPr>
        <w:t>MEDIA_ROOT</w:t>
      </w:r>
      <w:r>
        <w:t xml:space="preserve">, pero </w:t>
      </w:r>
      <w:r>
        <w:rPr>
          <w:rFonts w:ascii="Consolas" w:hAnsi="Consolas"/>
          <w:color w:val="1C3557"/>
          <w:sz w:val="19"/>
        </w:rPr>
        <w:t>/media/</w:t>
      </w:r>
      <w:r>
        <w:t xml:space="preserve"> ya no se publica. Cada archivo se entrega por una vista que valida la participación del usuario en el documento (</w:t>
      </w:r>
      <w:r>
        <w:rPr>
          <w:rFonts w:ascii="Consolas" w:hAnsi="Consolas"/>
          <w:color w:val="1C3557"/>
          <w:sz w:val="19"/>
        </w:rPr>
        <w:t>apps/utils/archivos_protegidos.py</w:t>
      </w:r>
      <w:r>
        <w:t xml:space="preserve">, </w:t>
      </w:r>
      <w:r>
        <w:rPr>
          <w:rFonts w:ascii="Consolas" w:hAnsi="Consolas"/>
          <w:color w:val="1C3557"/>
          <w:sz w:val="19"/>
        </w:rPr>
        <w:t>evidencia_postventa</w:t>
      </w:r>
      <w:r>
        <w:t xml:space="preserve">, OC de la nota de venta), con cabeceras </w:t>
      </w:r>
      <w:r>
        <w:rPr>
          <w:rFonts w:ascii="Consolas" w:hAnsi="Consolas"/>
          <w:color w:val="1C3557"/>
          <w:sz w:val="19"/>
        </w:rPr>
        <w:t>Cache-Control: private, no-store</w:t>
      </w:r>
      <w:r>
        <w:t xml:space="preserve"> y </w:t>
      </w:r>
      <w:r>
        <w:rPr>
          <w:rFonts w:ascii="Consolas" w:hAnsi="Consolas"/>
          <w:color w:val="1C3557"/>
          <w:sz w:val="19"/>
        </w:rPr>
        <w:t>nosniff</w:t>
      </w:r>
      <w:r>
        <w:t>.</w:t>
      </w:r>
    </w:p>
    <w:p w14:paraId="473B7886" w14:textId="77777777" w:rsidR="00293670" w:rsidRDefault="0072321A">
      <w:pPr>
        <w:pStyle w:val="Listaconvietas"/>
      </w:pPr>
      <w:r>
        <w:rPr>
          <w:b/>
        </w:rPr>
        <w:lastRenderedPageBreak/>
        <w:t>Consecuencias:</w:t>
      </w:r>
      <w:r>
        <w:t xml:space="preserve"> mismo comportamiento en desarrollo y producción, sin depender de reglas del servidor web; el proxy o IIS no debe publicar la carpeta </w:t>
      </w:r>
      <w:r>
        <w:rPr>
          <w:rFonts w:ascii="Consolas" w:hAnsi="Consolas"/>
          <w:color w:val="1C3557"/>
          <w:sz w:val="19"/>
        </w:rPr>
        <w:t>media/</w:t>
      </w:r>
      <w:r>
        <w:t>.</w:t>
      </w:r>
    </w:p>
    <w:p w14:paraId="4F8B7DE7" w14:textId="77777777" w:rsidR="00293670" w:rsidRDefault="0072321A">
      <w:pPr>
        <w:pStyle w:val="Ttulo3"/>
      </w:pPr>
      <w:r>
        <w:t>ADR-16 · Firma HMAC versión 2 y conexión HANA en solo lectura</w:t>
      </w:r>
    </w:p>
    <w:p w14:paraId="3569DCDD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la firma original cubría solo </w:t>
      </w:r>
      <w:r>
        <w:rPr>
          <w:rFonts w:ascii="Consolas" w:hAnsi="Consolas"/>
          <w:color w:val="1C3557"/>
          <w:sz w:val="19"/>
        </w:rPr>
        <w:t>KeyId.Timestamp</w:t>
      </w:r>
      <w:r>
        <w:t>, por lo que una firma capturada servía para cualquier consulta durante 5 minutos (CP-056); la lectura dependía solo de los permisos del usuario de HANA (CP-055).</w:t>
      </w:r>
    </w:p>
    <w:p w14:paraId="394ACAE0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la firma v2 cubre </w:t>
      </w:r>
      <w:r>
        <w:rPr>
          <w:rFonts w:ascii="Consolas" w:hAnsi="Consolas"/>
          <w:color w:val="1C3557"/>
          <w:sz w:val="19"/>
        </w:rPr>
        <w:t>KeyId.Timestamp.MÉTODO.ruta?query</w:t>
      </w:r>
      <w:r>
        <w:t xml:space="preserve"> con los parámetros ordenados, con el mismo formato en la API (</w:t>
      </w:r>
      <w:r>
        <w:rPr>
          <w:rFonts w:ascii="Consolas" w:hAnsi="Consolas"/>
          <w:color w:val="1C3557"/>
          <w:sz w:val="19"/>
        </w:rPr>
        <w:t>api2/app/firma.py</w:t>
      </w:r>
      <w:r>
        <w:t>) y en el cliente (</w:t>
      </w:r>
      <w:r>
        <w:rPr>
          <w:rFonts w:ascii="Consolas" w:hAnsi="Consolas"/>
          <w:color w:val="1C3557"/>
          <w:sz w:val="19"/>
        </w:rPr>
        <w:t>apps/sap/api_consultas.py</w:t>
      </w:r>
      <w:r>
        <w:t xml:space="preserve">); la v1 se rechaza salvo </w:t>
      </w:r>
      <w:r>
        <w:rPr>
          <w:rFonts w:ascii="Consolas" w:hAnsi="Consolas"/>
          <w:color w:val="1C3557"/>
          <w:sz w:val="19"/>
        </w:rPr>
        <w:t>HMAC_ACEPTAR_FIRMA_V1=true</w:t>
      </w:r>
      <w:r>
        <w:t xml:space="preserve">. Cada conexión del pool se deja en </w:t>
      </w:r>
      <w:r>
        <w:rPr>
          <w:rFonts w:ascii="Consolas" w:hAnsi="Consolas"/>
          <w:color w:val="1C3557"/>
          <w:sz w:val="19"/>
        </w:rPr>
        <w:t>SET TRANSACTION READ ONLY</w:t>
      </w:r>
      <w:r>
        <w:t xml:space="preserve"> (</w:t>
      </w:r>
      <w:r>
        <w:rPr>
          <w:rFonts w:ascii="Consolas" w:hAnsi="Consolas"/>
          <w:color w:val="1C3557"/>
          <w:sz w:val="19"/>
        </w:rPr>
        <w:t>HANA_SOLO_LECTURA=true</w:t>
      </w:r>
      <w:r>
        <w:t xml:space="preserve">), además del usuario con solo </w:t>
      </w:r>
      <w:r>
        <w:rPr>
          <w:rFonts w:ascii="Consolas" w:hAnsi="Consolas"/>
          <w:color w:val="1C3557"/>
          <w:sz w:val="19"/>
        </w:rPr>
        <w:t>SELECT</w:t>
      </w:r>
      <w:r>
        <w:t>. Los listados se paginan (</w:t>
      </w:r>
      <w:r>
        <w:rPr>
          <w:rFonts w:ascii="Consolas" w:hAnsi="Consolas"/>
          <w:color w:val="1C3557"/>
          <w:sz w:val="19"/>
        </w:rPr>
        <w:t>page</w:t>
      </w:r>
      <w:r>
        <w:t xml:space="preserve">, </w:t>
      </w:r>
      <w:r>
        <w:rPr>
          <w:rFonts w:ascii="Consolas" w:hAnsi="Consolas"/>
          <w:color w:val="1C3557"/>
          <w:sz w:val="19"/>
        </w:rPr>
        <w:t>page_size</w:t>
      </w:r>
      <w:r>
        <w:t xml:space="preserve">, </w:t>
      </w:r>
      <w:r>
        <w:rPr>
          <w:rFonts w:ascii="Consolas" w:hAnsi="Consolas"/>
          <w:color w:val="1C3557"/>
          <w:sz w:val="19"/>
        </w:rPr>
        <w:t>X-Total-Count</w:t>
      </w:r>
      <w:r>
        <w:t>) y los GET se reintentan de forma acotada.</w:t>
      </w:r>
    </w:p>
    <w:p w14:paraId="0555BCE2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una firma no se reutiliza para otra consulta y HANA rechaza cualquier escritura aunque se colara en el código; la plataforma y la API deben actualizarse juntas (o activar la v1 durante la transición).</w:t>
      </w:r>
    </w:p>
    <w:p w14:paraId="453BE4D8" w14:textId="77777777" w:rsidR="00293670" w:rsidRDefault="0072321A">
      <w:pPr>
        <w:pStyle w:val="Ttulo3"/>
      </w:pPr>
      <w:r>
        <w:t>ADR-17 · Expiración de sesión por inactividad y auditoría de accesos</w:t>
      </w:r>
    </w:p>
    <w:p w14:paraId="25C71BE5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la sesión podía durar 14 días con «Recordarme» y los sondeos de la barra superior la mantenían viva indefinidamente; no había registro de accesos (RNF-04, RNF-05).</w:t>
      </w:r>
    </w:p>
    <w:p w14:paraId="6285E978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un middleware (</w:t>
      </w:r>
      <w:r>
        <w:rPr>
          <w:rFonts w:ascii="Consolas" w:hAnsi="Consolas"/>
          <w:color w:val="1C3557"/>
          <w:sz w:val="19"/>
        </w:rPr>
        <w:t>ExpiraPorInactividadMiddleware</w:t>
      </w:r>
      <w:r>
        <w:t xml:space="preserve">) cierra la sesión tras </w:t>
      </w:r>
      <w:r>
        <w:rPr>
          <w:rFonts w:ascii="Consolas" w:hAnsi="Consolas"/>
          <w:color w:val="1C3557"/>
          <w:sz w:val="19"/>
        </w:rPr>
        <w:t>SESION_INACTIVIDAD_MIN</w:t>
      </w:r>
      <w:r>
        <w:t xml:space="preserve"> minutos sin actividad real; las consultas automáticas se marcan con la cabecera </w:t>
      </w:r>
      <w:r>
        <w:rPr>
          <w:rFonts w:ascii="Consolas" w:hAnsi="Consolas"/>
          <w:color w:val="1C3557"/>
          <w:sz w:val="19"/>
        </w:rPr>
        <w:t>X-Consulta-Automatica</w:t>
      </w:r>
      <w:r>
        <w:t xml:space="preserve"> y no cuentan. Se eliminó «Recordarme». Las señales de autenticación de Django y las acciones del administrador escriben en </w:t>
      </w:r>
      <w:r>
        <w:rPr>
          <w:rFonts w:ascii="Consolas" w:hAnsi="Consolas"/>
          <w:color w:val="1C3557"/>
          <w:sz w:val="19"/>
        </w:rPr>
        <w:t>RegistroAcceso</w:t>
      </w:r>
      <w:r>
        <w:t>.</w:t>
      </w:r>
    </w:p>
    <w:p w14:paraId="465A9329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sesiones acotadas y trazables; el registro nunca guarda contraseñas y es de solo lectura para la administración.</w:t>
      </w:r>
    </w:p>
    <w:p w14:paraId="1BCC5B52" w14:textId="77777777" w:rsidR="00293670" w:rsidRDefault="0072321A">
      <w:pPr>
        <w:pStyle w:val="Ttulo3"/>
      </w:pPr>
      <w:r>
        <w:t>ADR-18 · Recordatorios como tarea programada de Windows</w:t>
      </w:r>
    </w:p>
    <w:p w14:paraId="09D820F3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RF-17 exige recordatorios automáticos de los procesos que llevan más de una hora pendientes; la plataforma no tenía procesos en segundo plano y el servidor es Windows.</w:t>
      </w:r>
    </w:p>
    <w:p w14:paraId="4374BAAE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un comando de Django (</w:t>
      </w:r>
      <w:r>
        <w:rPr>
          <w:rFonts w:ascii="Consolas" w:hAnsi="Consolas"/>
          <w:color w:val="1C3557"/>
          <w:sz w:val="19"/>
        </w:rPr>
        <w:t>enviar_recordatorios</w:t>
      </w:r>
      <w:r>
        <w:t xml:space="preserve">) ejecutado cada 15 minutos por el Programador de tareas de Windows. Deduplica con el modelo </w:t>
      </w:r>
      <w:r>
        <w:rPr>
          <w:rFonts w:ascii="Consolas" w:hAnsi="Consolas"/>
          <w:color w:val="1C3557"/>
          <w:sz w:val="19"/>
        </w:rPr>
        <w:t>RecordatorioEnviado</w:t>
      </w:r>
      <w:r>
        <w:t xml:space="preserve"> (un aviso por proceso y umbral) y consulta solo la base local, no SAP.</w:t>
      </w:r>
    </w:p>
    <w:p w14:paraId="702A8C16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sin servicios adicionales (Celery, colas); el recordatorio depende de que la tarea esté programada y activa en el servidor.</w:t>
      </w:r>
    </w:p>
    <w:p w14:paraId="2B4D10E5" w14:textId="77777777" w:rsidR="00293670" w:rsidRDefault="0072321A">
      <w:pPr>
        <w:pStyle w:val="Ttulo3"/>
      </w:pPr>
      <w:r>
        <w:t>ADR-19 · Copia autorizada de la nota de venta y conversión a borrador</w:t>
      </w:r>
    </w:p>
    <w:p w14:paraId="468DE00E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al enviar se recalculaban margen y comisión, y existían vías que escribían en SAP sin autorización (conversión directa de la cotización en orden, modificación de órdenes sin verificar propiedad) (CP-041, CP-060, CP-062).</w:t>
      </w:r>
    </w:p>
    <w:p w14:paraId="4BD96223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al completar los vistos buenos se congela </w:t>
      </w:r>
      <w:r>
        <w:rPr>
          <w:rFonts w:ascii="Consolas" w:hAnsi="Consolas"/>
          <w:color w:val="1C3557"/>
          <w:sz w:val="19"/>
        </w:rPr>
        <w:t>payload_autorizado</w:t>
      </w:r>
      <w:r>
        <w:t xml:space="preserve"> con su SHA-256 (</w:t>
      </w:r>
      <w:r>
        <w:rPr>
          <w:rFonts w:ascii="Consolas" w:hAnsi="Consolas"/>
          <w:color w:val="1C3557"/>
          <w:sz w:val="19"/>
        </w:rPr>
        <w:t>hash_autorizado</w:t>
      </w:r>
      <w:r>
        <w:t xml:space="preserve">); el envío usa esa copia y, si el documento, el margen o la comisión cambian, la nota vuelve a autorización. La conversión desde el buscador crea una nota en estado </w:t>
      </w:r>
      <w:r>
        <w:rPr>
          <w:b/>
        </w:rPr>
        <w:t>BORRADOR</w:t>
      </w:r>
      <w:r>
        <w:t xml:space="preserve">; la conversión exige una cotización aceptada por el cliente, registrada en </w:t>
      </w:r>
      <w:r>
        <w:rPr>
          <w:rFonts w:ascii="Consolas" w:hAnsi="Consolas"/>
          <w:color w:val="1C3557"/>
          <w:sz w:val="19"/>
        </w:rPr>
        <w:t>CotizacionEmitida</w:t>
      </w:r>
      <w:r>
        <w:t>. Nadie aprueba su propia nota.</w:t>
      </w:r>
    </w:p>
    <w:p w14:paraId="6D96A584" w14:textId="77777777" w:rsidR="00293670" w:rsidRDefault="0072321A">
      <w:pPr>
        <w:pStyle w:val="Listaconvietas"/>
      </w:pPr>
      <w:r>
        <w:rPr>
          <w:b/>
        </w:rPr>
        <w:lastRenderedPageBreak/>
        <w:t>Consecuencias:</w:t>
      </w:r>
      <w:r>
        <w:t xml:space="preserve"> SAP recibe exactamente lo autorizado (RN-26); el vendedor debe completar el borrador antes de que entre a autorización.</w:t>
      </w:r>
    </w:p>
    <w:p w14:paraId="475899C3" w14:textId="77777777" w:rsidR="00293670" w:rsidRDefault="0072321A">
      <w:pPr>
        <w:pStyle w:val="Ttulo3"/>
      </w:pPr>
      <w:r>
        <w:t>ADR-20 · Rol como composición de área, cargo, grupos y permisos</w:t>
      </w:r>
    </w:p>
    <w:p w14:paraId="2D0F9B64" w14:textId="77777777" w:rsidR="00293670" w:rsidRDefault="0072321A">
      <w:pPr>
        <w:pStyle w:val="Listaconvietas"/>
      </w:pPr>
      <w:r>
        <w:rPr>
          <w:b/>
        </w:rPr>
        <w:t>Contexto:</w:t>
      </w:r>
      <w:r>
        <w:t xml:space="preserve"> el SRS habla de «rol» (RF-02, RF-03, RF-05), pero la organización ya se expresa en áreas y cargos, y los procesos de autorización en grupos.</w:t>
      </w:r>
    </w:p>
    <w:p w14:paraId="4AC92518" w14:textId="77777777" w:rsidR="00293670" w:rsidRDefault="0072321A">
      <w:pPr>
        <w:pStyle w:val="Listaconvietas"/>
      </w:pPr>
      <w:r>
        <w:rPr>
          <w:b/>
        </w:rPr>
        <w:t>Decisión:</w:t>
      </w:r>
      <w:r>
        <w:t xml:space="preserve"> no se crea un modelo </w:t>
      </w:r>
      <w:r>
        <w:rPr>
          <w:rFonts w:ascii="Consolas" w:hAnsi="Consolas"/>
          <w:color w:val="1C3557"/>
          <w:sz w:val="19"/>
        </w:rPr>
        <w:t>Rol</w:t>
      </w:r>
      <w:r>
        <w:t>: el rol efectivo de un usuario es la suma de su área, su cargo, sus grupos de autorizadores y sus permisos directos (RN-03). Área y cargo son obligatorios; los permisos por área y cargo se administran en una pantalla propia.</w:t>
      </w:r>
    </w:p>
    <w:p w14:paraId="21A0D46D" w14:textId="77777777" w:rsidR="00293670" w:rsidRDefault="0072321A">
      <w:pPr>
        <w:pStyle w:val="Listaconvietas"/>
      </w:pPr>
      <w:r>
        <w:rPr>
          <w:b/>
        </w:rPr>
        <w:t>Consecuencias:</w:t>
      </w:r>
      <w:r>
        <w:t xml:space="preserve"> administración alineada con el organigrama y sin una tercera fuente de permisos; el equipo propone ajustar la redacción del SRS en ese sentido.</w:t>
      </w:r>
    </w:p>
    <w:p w14:paraId="320210BF" w14:textId="77777777" w:rsidR="00293670" w:rsidRDefault="0072321A">
      <w:pPr>
        <w:pStyle w:val="Ttulo2"/>
      </w:pPr>
      <w:bookmarkStart w:id="7" w:name="_Toc241577815"/>
      <w:r>
        <w:t>8. Riesgos y mitigaciones</w:t>
      </w:r>
      <w:bookmarkEnd w:id="7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567"/>
        <w:gridCol w:w="4252"/>
      </w:tblGrid>
      <w:tr w:rsidR="00293670" w14:paraId="7FECD949" w14:textId="77777777">
        <w:trPr>
          <w:tblHeader/>
          <w:jc w:val="center"/>
        </w:trPr>
        <w:tc>
          <w:tcPr>
            <w:tcW w:w="4252" w:type="dxa"/>
            <w:tcBorders>
              <w:bottom w:val="single" w:sz="18" w:space="0" w:color="F7A81B"/>
            </w:tcBorders>
            <w:shd w:val="clear" w:color="auto" w:fill="1C3557"/>
          </w:tcPr>
          <w:p w14:paraId="14493D3D" w14:textId="77777777" w:rsidR="00293670" w:rsidRDefault="0072321A">
            <w:r>
              <w:rPr>
                <w:b/>
                <w:sz w:val="19"/>
                <w:color w:val="FFFFFF"/>
              </w:rPr>
              <w:t>Riesgo</w:t>
            </w:r>
          </w:p>
        </w:tc>
        <w:tc>
          <w:tcPr>
            <w:tcW w:w="567" w:type="dxa"/>
            <w:tcBorders>
              <w:bottom w:val="single" w:sz="18" w:space="0" w:color="F7A81B"/>
            </w:tcBorders>
            <w:shd w:val="clear" w:color="auto" w:fill="1C3557"/>
          </w:tcPr>
          <w:p w14:paraId="58BF1C6F" w14:textId="77777777" w:rsidR="00293670" w:rsidRDefault="0072321A">
            <w:r>
              <w:rPr>
                <w:b/>
                <w:sz w:val="19"/>
                <w:color w:val="FFFFFF"/>
              </w:rPr>
              <w:t>Impacto</w:t>
            </w:r>
          </w:p>
        </w:tc>
        <w:tc>
          <w:tcPr>
            <w:tcW w:w="4252" w:type="dxa"/>
            <w:tcBorders>
              <w:bottom w:val="single" w:sz="18" w:space="0" w:color="F7A81B"/>
            </w:tcBorders>
            <w:shd w:val="clear" w:color="auto" w:fill="1C3557"/>
          </w:tcPr>
          <w:p w14:paraId="36B2AEE8" w14:textId="77777777" w:rsidR="00293670" w:rsidRDefault="0072321A">
            <w:r>
              <w:rPr>
                <w:b/>
                <w:sz w:val="19"/>
                <w:color w:val="FFFFFF"/>
              </w:rPr>
              <w:t>Mitigación</w:t>
            </w:r>
          </w:p>
        </w:tc>
      </w:tr>
      <w:tr w:rsidR="00293670" w14:paraId="0D066B5C" w14:textId="77777777">
        <w:trPr>
          <w:jc w:val="center"/>
        </w:trPr>
        <w:tc>
          <w:tcPr>
            <w:tcW w:w="4252" w:type="dxa"/>
          </w:tcPr>
          <w:p w14:paraId="3C58D203" w14:textId="77777777" w:rsidR="00293670" w:rsidRDefault="0072321A">
            <w:r>
              <w:rPr>
                <w:sz w:val="19"/>
              </w:rPr>
              <w:t>Cambios en la versión de SAP B1 / Service Layer</w:t>
            </w:r>
          </w:p>
        </w:tc>
        <w:tc>
          <w:tcPr>
            <w:tcW w:w="567" w:type="dxa"/>
          </w:tcPr>
          <w:p w14:paraId="367D86BF" w14:textId="77777777" w:rsidR="00293670" w:rsidRDefault="0072321A">
            <w:r>
              <w:rPr>
                <w:sz w:val="19"/>
              </w:rPr>
              <w:t>Alto</w:t>
            </w:r>
          </w:p>
        </w:tc>
        <w:tc>
          <w:tcPr>
            <w:tcW w:w="4252" w:type="dxa"/>
          </w:tcPr>
          <w:p w14:paraId="08A71612" w14:textId="77777777" w:rsidR="00293670" w:rsidRDefault="0072321A">
            <w:r>
              <w:rPr>
                <w:sz w:val="19"/>
              </w:rPr>
              <w:t>Punto único de salida, pruebas de contrato con el simulador, registro de errores de SAP.</w:t>
            </w:r>
          </w:p>
        </w:tc>
      </w:tr>
      <w:tr w:rsidR="00293670" w14:paraId="40DC0420" w14:textId="77777777">
        <w:trPr>
          <w:jc w:val="center"/>
        </w:trPr>
        <w:tc>
          <w:tcPr>
            <w:tcW w:w="4252" w:type="dxa"/>
          </w:tcPr>
          <w:p w14:paraId="4A517273" w14:textId="77777777" w:rsidR="00293670" w:rsidRDefault="0072321A">
            <w:r>
              <w:rPr>
                <w:sz w:val="19"/>
              </w:rPr>
              <w:t>Documentos de prueba en la base productiva</w:t>
            </w:r>
          </w:p>
        </w:tc>
        <w:tc>
          <w:tcPr>
            <w:tcW w:w="567" w:type="dxa"/>
          </w:tcPr>
          <w:p w14:paraId="31A0914D" w14:textId="77777777" w:rsidR="00293670" w:rsidRDefault="0072321A">
            <w:r>
              <w:rPr>
                <w:sz w:val="19"/>
              </w:rPr>
              <w:t>Alto</w:t>
            </w:r>
          </w:p>
        </w:tc>
        <w:tc>
          <w:tcPr>
            <w:tcW w:w="4252" w:type="dxa"/>
          </w:tcPr>
          <w:p w14:paraId="77F3038C" w14:textId="77777777" w:rsidR="00293670" w:rsidRDefault="0072321A">
            <w:r>
              <w:rPr>
                <w:sz w:val="19"/>
              </w:rPr>
              <w:t>Pruebas solo sobre bases Test refrescadas cada lunes (ADR-14); producción se habilita tras la certificación.</w:t>
            </w:r>
          </w:p>
        </w:tc>
      </w:tr>
      <w:tr w:rsidR="00293670" w14:paraId="1BB35355" w14:textId="77777777">
        <w:trPr>
          <w:jc w:val="center"/>
        </w:trPr>
        <w:tc>
          <w:tcPr>
            <w:tcW w:w="4252" w:type="dxa"/>
          </w:tcPr>
          <w:p w14:paraId="5397199D" w14:textId="77777777" w:rsidR="00293670" w:rsidRDefault="0072321A">
            <w:r>
              <w:rPr>
                <w:sz w:val="19"/>
              </w:rPr>
              <w:t>Caída de SAP durante el envío</w:t>
            </w:r>
          </w:p>
        </w:tc>
        <w:tc>
          <w:tcPr>
            <w:tcW w:w="567" w:type="dxa"/>
          </w:tcPr>
          <w:p w14:paraId="66BE7BA4" w14:textId="77777777" w:rsidR="00293670" w:rsidRDefault="0072321A">
            <w:r>
              <w:rPr>
                <w:sz w:val="19"/>
              </w:rPr>
              <w:t>Medio</w:t>
            </w:r>
          </w:p>
        </w:tc>
        <w:tc>
          <w:tcPr>
            <w:tcW w:w="4252" w:type="dxa"/>
          </w:tcPr>
          <w:p w14:paraId="349A3A17" w14:textId="77777777" w:rsidR="00293670" w:rsidRDefault="0072321A">
            <w:r>
              <w:rPr>
                <w:sz w:val="19"/>
              </w:rPr>
              <w:t>Estados PARCIAL / ERROR_SAP con reintento que crea solo lo faltante.</w:t>
            </w:r>
          </w:p>
        </w:tc>
      </w:tr>
      <w:tr w:rsidR="00293670" w14:paraId="36D05704" w14:textId="77777777">
        <w:trPr>
          <w:jc w:val="center"/>
        </w:trPr>
        <w:tc>
          <w:tcPr>
            <w:tcW w:w="4252" w:type="dxa"/>
          </w:tcPr>
          <w:p w14:paraId="4990A897" w14:textId="77777777" w:rsidR="00293670" w:rsidRDefault="0072321A">
            <w:r>
              <w:rPr>
                <w:sz w:val="19"/>
              </w:rPr>
              <w:t>Crecimiento desordenado del monolito</w:t>
            </w:r>
          </w:p>
        </w:tc>
        <w:tc>
          <w:tcPr>
            <w:tcW w:w="567" w:type="dxa"/>
          </w:tcPr>
          <w:p w14:paraId="4DA071FC" w14:textId="77777777" w:rsidR="00293670" w:rsidRDefault="0072321A">
            <w:r>
              <w:rPr>
                <w:sz w:val="19"/>
              </w:rPr>
              <w:t>Medio</w:t>
            </w:r>
          </w:p>
        </w:tc>
        <w:tc>
          <w:tcPr>
            <w:tcW w:w="4252" w:type="dxa"/>
          </w:tcPr>
          <w:p w14:paraId="1F41B52E" w14:textId="77777777" w:rsidR="00293670" w:rsidRDefault="0072321A">
            <w:r>
              <w:rPr>
                <w:sz w:val="19"/>
              </w:rPr>
              <w:t>Módulos por dominio, regiones por módulo en archivos compartidos, pruebas automatizadas.</w:t>
            </w:r>
          </w:p>
        </w:tc>
      </w:tr>
      <w:tr w:rsidR="00293670" w14:paraId="32170930" w14:textId="77777777">
        <w:trPr>
          <w:jc w:val="center"/>
        </w:trPr>
        <w:tc>
          <w:tcPr>
            <w:tcW w:w="4252" w:type="dxa"/>
          </w:tcPr>
          <w:p w14:paraId="71A6FBDB" w14:textId="77777777" w:rsidR="00293670" w:rsidRDefault="0072321A">
            <w:r>
              <w:rPr>
                <w:sz w:val="19"/>
              </w:rPr>
              <w:t>Divergencia entre simulador y SAP real</w:t>
            </w:r>
          </w:p>
        </w:tc>
        <w:tc>
          <w:tcPr>
            <w:tcW w:w="567" w:type="dxa"/>
          </w:tcPr>
          <w:p w14:paraId="2E1904BC" w14:textId="77777777" w:rsidR="00293670" w:rsidRDefault="0072321A">
            <w:r>
              <w:rPr>
                <w:sz w:val="19"/>
              </w:rPr>
              <w:t>Medio</w:t>
            </w:r>
          </w:p>
        </w:tc>
        <w:tc>
          <w:tcPr>
            <w:tcW w:w="4252" w:type="dxa"/>
          </w:tcPr>
          <w:p w14:paraId="10D763A9" w14:textId="77777777" w:rsidR="00293670" w:rsidRDefault="0072321A">
            <w:r>
              <w:rPr>
                <w:sz w:val="19"/>
              </w:rPr>
              <w:t>Mismo formato de respuesta, pruebas en modo real con HTTP simulado.</w:t>
            </w:r>
          </w:p>
        </w:tc>
      </w:tr>
      <w:tr w:rsidR="00293670" w14:paraId="417D538D" w14:textId="77777777">
        <w:trPr>
          <w:jc w:val="center"/>
        </w:trPr>
        <w:tc>
          <w:tcPr>
            <w:tcW w:w="4252" w:type="dxa"/>
          </w:tcPr>
          <w:p w14:paraId="38C83228" w14:textId="77777777" w:rsidR="00293670" w:rsidRDefault="0072321A">
            <w:r>
              <w:rPr>
                <w:sz w:val="19"/>
              </w:rPr>
              <w:t>Exposición de credenciales</w:t>
            </w:r>
          </w:p>
        </w:tc>
        <w:tc>
          <w:tcPr>
            <w:tcW w:w="567" w:type="dxa"/>
          </w:tcPr>
          <w:p w14:paraId="7338F973" w14:textId="77777777" w:rsidR="00293670" w:rsidRDefault="0072321A">
            <w:r>
              <w:rPr>
                <w:sz w:val="19"/>
              </w:rPr>
              <w:t>Alto</w:t>
            </w:r>
          </w:p>
        </w:tc>
        <w:tc>
          <w:tcPr>
            <w:tcW w:w="4252" w:type="dxa"/>
          </w:tcPr>
          <w:p w14:paraId="6BC6B792" w14:textId="77777777" w:rsidR="00293670" w:rsidRDefault="0072321A">
            <w:r>
              <w:rPr>
                <w:sz w:val="19"/>
              </w:rPr>
              <w:t xml:space="preserve">Variables de entorno, </w:t>
            </w:r>
            <w:r>
              <w:rPr>
                <w:rFonts w:ascii="Consolas" w:hAnsi="Consolas"/>
                <w:color w:val="1C3557"/>
                <w:sz w:val="19"/>
              </w:rPr>
              <w:t>.env</w:t>
            </w:r>
            <w:r>
              <w:rPr>
                <w:sz w:val="19"/>
              </w:rPr>
              <w:t xml:space="preserve"> fuera del repositorio, enmascarado en el registro SAP.</w:t>
            </w:r>
          </w:p>
        </w:tc>
      </w:tr>
      <w:tr w:rsidR="00293670" w14:paraId="00FA0876" w14:textId="77777777">
        <w:trPr>
          <w:jc w:val="center"/>
        </w:trPr>
        <w:tc>
          <w:tcPr>
            <w:tcW w:w="4252" w:type="dxa"/>
          </w:tcPr>
          <w:p w14:paraId="7FFB1745" w14:textId="77777777" w:rsidR="00293670" w:rsidRDefault="0072321A">
            <w:r>
              <w:rPr>
                <w:sz w:val="19"/>
              </w:rPr>
              <w:t>Exposición de adjuntos y evidencias de clientes</w:t>
            </w:r>
          </w:p>
        </w:tc>
        <w:tc>
          <w:tcPr>
            <w:tcW w:w="567" w:type="dxa"/>
          </w:tcPr>
          <w:p w14:paraId="5EB8A41B" w14:textId="77777777" w:rsidR="00293670" w:rsidRDefault="0072321A">
            <w:r>
              <w:rPr>
                <w:sz w:val="19"/>
              </w:rPr>
              <w:t>Alto</w:t>
            </w:r>
          </w:p>
        </w:tc>
        <w:tc>
          <w:tcPr>
            <w:tcW w:w="4252" w:type="dxa"/>
          </w:tcPr>
          <w:p w14:paraId="6C7C8B54" w14:textId="77777777" w:rsidR="00293670" w:rsidRDefault="0072321A">
            <w:r>
              <w:rPr>
                <w:sz w:val="19"/>
              </w:rPr>
              <w:t xml:space="preserve">Archivos entregados solo por vistas con permiso; </w:t>
            </w:r>
            <w:r>
              <w:rPr>
                <w:rFonts w:ascii="Consolas" w:hAnsi="Consolas"/>
                <w:color w:val="1C3557"/>
                <w:sz w:val="19"/>
              </w:rPr>
              <w:t>/media/</w:t>
            </w:r>
            <w:r>
              <w:rPr>
                <w:sz w:val="19"/>
              </w:rPr>
              <w:t xml:space="preserve"> no publicado (ADR-15).</w:t>
            </w:r>
          </w:p>
        </w:tc>
      </w:tr>
      <w:tr w:rsidR="00293670" w14:paraId="515A0632" w14:textId="77777777">
        <w:trPr>
          <w:jc w:val="center"/>
        </w:trPr>
        <w:tc>
          <w:tcPr>
            <w:tcW w:w="4252" w:type="dxa"/>
          </w:tcPr>
          <w:p w14:paraId="13233C8F" w14:textId="77777777" w:rsidR="00293670" w:rsidRDefault="0072321A">
            <w:r>
              <w:rPr>
                <w:sz w:val="19"/>
              </w:rPr>
              <w:t>Reutilización de una firma capturada o escritura accidental en HANA</w:t>
            </w:r>
          </w:p>
        </w:tc>
        <w:tc>
          <w:tcPr>
            <w:tcW w:w="567" w:type="dxa"/>
          </w:tcPr>
          <w:p w14:paraId="49D6FB70" w14:textId="77777777" w:rsidR="00293670" w:rsidRDefault="0072321A">
            <w:r>
              <w:rPr>
                <w:sz w:val="19"/>
              </w:rPr>
              <w:t>Medio</w:t>
            </w:r>
          </w:p>
        </w:tc>
        <w:tc>
          <w:tcPr>
            <w:tcW w:w="4252" w:type="dxa"/>
          </w:tcPr>
          <w:p w14:paraId="5778D396" w14:textId="77777777" w:rsidR="00293670" w:rsidRDefault="0072321A">
            <w:r>
              <w:rPr>
                <w:sz w:val="19"/>
              </w:rPr>
              <w:t>Firma v2 por consulta y conexión en solo lectura (ADR-16).</w:t>
            </w:r>
          </w:p>
        </w:tc>
      </w:tr>
      <w:tr w:rsidR="00293670" w14:paraId="0D23AE9A" w14:textId="77777777">
        <w:trPr>
          <w:jc w:val="center"/>
        </w:trPr>
        <w:tc>
          <w:tcPr>
            <w:tcW w:w="4252" w:type="dxa"/>
          </w:tcPr>
          <w:p w14:paraId="05AC8ACD" w14:textId="77777777" w:rsidR="00293670" w:rsidRDefault="0072321A">
            <w:r>
              <w:rPr>
                <w:sz w:val="19"/>
              </w:rPr>
              <w:t>Envío a SAP de un documento distinto del autorizado</w:t>
            </w:r>
          </w:p>
        </w:tc>
        <w:tc>
          <w:tcPr>
            <w:tcW w:w="567" w:type="dxa"/>
          </w:tcPr>
          <w:p w14:paraId="47559DC2" w14:textId="77777777" w:rsidR="00293670" w:rsidRDefault="0072321A">
            <w:r>
              <w:rPr>
                <w:sz w:val="19"/>
              </w:rPr>
              <w:t>Alto</w:t>
            </w:r>
          </w:p>
        </w:tc>
        <w:tc>
          <w:tcPr>
            <w:tcW w:w="4252" w:type="dxa"/>
          </w:tcPr>
          <w:p w14:paraId="3A91F9A9" w14:textId="77777777" w:rsidR="00293670" w:rsidRDefault="0072321A">
            <w:r>
              <w:rPr>
                <w:sz w:val="19"/>
              </w:rPr>
              <w:t>Copia autorizada con SHA-256 y vuelta a autorización ante cambios (ADR-19).</w:t>
            </w:r>
          </w:p>
        </w:tc>
      </w:tr>
      <w:tr w:rsidR="00293670" w14:paraId="7BDCB590" w14:textId="77777777">
        <w:trPr>
          <w:jc w:val="center"/>
        </w:trPr>
        <w:tc>
          <w:tcPr>
            <w:tcW w:w="4252" w:type="dxa"/>
          </w:tcPr>
          <w:p w14:paraId="2CEDF422" w14:textId="77777777" w:rsidR="00293670" w:rsidRDefault="0072321A">
            <w:r>
              <w:rPr>
                <w:sz w:val="19"/>
              </w:rPr>
              <w:t>Tarea de recordatorios detenida</w:t>
            </w:r>
          </w:p>
        </w:tc>
        <w:tc>
          <w:tcPr>
            <w:tcW w:w="567" w:type="dxa"/>
          </w:tcPr>
          <w:p w14:paraId="3FBB79F1" w14:textId="77777777" w:rsidR="00293670" w:rsidRDefault="0072321A">
            <w:r>
              <w:rPr>
                <w:sz w:val="19"/>
              </w:rPr>
              <w:t>Bajo</w:t>
            </w:r>
          </w:p>
        </w:tc>
        <w:tc>
          <w:tcPr>
            <w:tcW w:w="4252" w:type="dxa"/>
          </w:tcPr>
          <w:p w14:paraId="1641F83B" w14:textId="77777777" w:rsidR="00293670" w:rsidRDefault="0072321A">
            <w:r>
              <w:rPr>
                <w:sz w:val="19"/>
              </w:rPr>
              <w:t xml:space="preserve">Resultado de cada corrida en </w:t>
            </w:r>
            <w:r>
              <w:rPr>
                <w:rFonts w:ascii="Consolas" w:hAnsi="Consolas"/>
                <w:color w:val="1C3557"/>
                <w:sz w:val="19"/>
              </w:rPr>
              <w:t>logs/plataforma.log</w:t>
            </w:r>
            <w:r>
              <w:rPr>
                <w:sz w:val="19"/>
              </w:rPr>
              <w:t xml:space="preserve">; revisión con </w:t>
            </w:r>
            <w:r>
              <w:rPr>
                <w:rFonts w:ascii="Consolas" w:hAnsi="Consolas"/>
                <w:color w:val="1C3557"/>
                <w:sz w:val="19"/>
              </w:rPr>
              <w:t>schtasks /Query</w:t>
            </w:r>
            <w:r>
              <w:rPr>
                <w:sz w:val="19"/>
              </w:rPr>
              <w:t>.</w:t>
            </w:r>
          </w:p>
        </w:tc>
      </w:tr>
      <w:tr w:rsidR="00293670" w14:paraId="0F58F2B2" w14:textId="77777777">
        <w:trPr>
          <w:jc w:val="center"/>
        </w:trPr>
        <w:tc>
          <w:tcPr>
            <w:tcW w:w="4252" w:type="dxa"/>
          </w:tcPr>
          <w:p w14:paraId="5D2E561D" w14:textId="77777777" w:rsidR="00293670" w:rsidRDefault="0072321A">
            <w:r>
              <w:rPr>
                <w:sz w:val="19"/>
              </w:rPr>
              <w:t>Caída del servidor virtual Windows</w:t>
            </w:r>
          </w:p>
        </w:tc>
        <w:tc>
          <w:tcPr>
            <w:tcW w:w="567" w:type="dxa"/>
          </w:tcPr>
          <w:p w14:paraId="55AA79AA" w14:textId="77777777" w:rsidR="00293670" w:rsidRDefault="0072321A">
            <w:r>
              <w:rPr>
                <w:sz w:val="19"/>
              </w:rPr>
              <w:t>Medio</w:t>
            </w:r>
          </w:p>
        </w:tc>
        <w:tc>
          <w:tcPr>
            <w:tcW w:w="4252" w:type="dxa"/>
          </w:tcPr>
          <w:p w14:paraId="080A5484" w14:textId="77777777" w:rsidR="00293670" w:rsidRDefault="0072321A">
            <w:r>
              <w:rPr>
                <w:sz w:val="19"/>
              </w:rPr>
              <w:t xml:space="preserve">Servicios de Windows con inicio automático, respaldo diario de la base de datos y de </w:t>
            </w:r>
            <w:r>
              <w:rPr>
                <w:rFonts w:ascii="Consolas" w:hAnsi="Consolas"/>
                <w:color w:val="1C3557"/>
                <w:sz w:val="19"/>
              </w:rPr>
              <w:t>media/</w:t>
            </w:r>
            <w:r>
              <w:rPr>
                <w:sz w:val="19"/>
              </w:rPr>
              <w:t>, instantáneas (snapshots) de la VM.</w:t>
            </w:r>
          </w:p>
        </w:tc>
      </w:tr>
      <w:tr w:rsidR="00293670" w14:paraId="04B314C7" w14:textId="77777777">
        <w:trPr>
          <w:jc w:val="center"/>
        </w:trPr>
        <w:tc>
          <w:tcPr>
            <w:tcW w:w="4252" w:type="dxa"/>
          </w:tcPr>
          <w:p w14:paraId="6263469E" w14:textId="77777777" w:rsidR="00293670" w:rsidRDefault="0072321A">
            <w:r>
              <w:rPr>
                <w:sz w:val="19"/>
              </w:rPr>
              <w:t>Actualizaciones de SUSE/HANA que cambien el acceso</w:t>
            </w:r>
          </w:p>
        </w:tc>
        <w:tc>
          <w:tcPr>
            <w:tcW w:w="567" w:type="dxa"/>
          </w:tcPr>
          <w:p w14:paraId="1598FED5" w14:textId="77777777" w:rsidR="00293670" w:rsidRDefault="0072321A">
            <w:r>
              <w:rPr>
                <w:sz w:val="19"/>
              </w:rPr>
              <w:t>Bajo</w:t>
            </w:r>
          </w:p>
        </w:tc>
        <w:tc>
          <w:tcPr>
            <w:tcW w:w="4252" w:type="dxa"/>
          </w:tcPr>
          <w:p w14:paraId="2974E648" w14:textId="77777777" w:rsidR="00293670" w:rsidRDefault="0072321A">
            <w:r>
              <w:rPr>
                <w:sz w:val="19"/>
              </w:rPr>
              <w:t xml:space="preserve">Solo se usan interfaces oficiales (Service Layer y </w:t>
            </w:r>
            <w:r>
              <w:rPr>
                <w:rFonts w:ascii="Consolas" w:hAnsi="Consolas"/>
                <w:color w:val="1C3557"/>
                <w:sz w:val="19"/>
              </w:rPr>
              <w:t>hdbcli</w:t>
            </w:r>
            <w:r>
              <w:rPr>
                <w:sz w:val="19"/>
              </w:rPr>
              <w:t>); el Registro SAP detecta fallas de inmediato.</w:t>
            </w:r>
          </w:p>
        </w:tc>
      </w:tr>
    </w:tbl>
    <w:p w14:paraId="6530C7BE" w14:textId="77777777" w:rsidR="00293670" w:rsidRDefault="00293670"/>
    <w:sectPr w:rsidR="00293670" w:rsidSect="00034616">
      <w:headerReference w:type="default" r:id="rIdDuocHdr"/>
      <w:footerReference w:type="default" r:id="rId9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ECFDC" w14:textId="77777777" w:rsidR="0072321A" w:rsidRDefault="0072321A">
      <w:pPr>
        <w:spacing w:after="0" w:line="240" w:lineRule="auto"/>
      </w:pPr>
      <w:r>
        <w:separator/>
      </w:r>
    </w:p>
  </w:endnote>
  <w:endnote w:type="continuationSeparator" w:id="0">
    <w:p w14:paraId="5D67964E" w14:textId="77777777" w:rsidR="0072321A" w:rsidRDefault="00723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CEB4" w14:textId="77777777" w:rsidR="00293670" w:rsidRDefault="0072321A">
    <w:pPr>
      <w:pStyle w:val="Piedepgina"/>
      <w:jc w:val="right"/>
    </w:pPr>
    <w:r>
      <w:rPr>
        <w:color w:val="777777"/>
        <w:sz w:val="18"/>
      </w:rPr>
      <w:t xml:space="preserve">Proy-Capstone · Grupo Gómez Hermanos    Página </w:t>
    </w:r>
    <w:r>
      <w:fldChar w:fldCharType="begin"/>
    </w:r>
    <w:r>
      <w:instrText>PAGE</w:instrText>
    </w:r>
    <w:r>
      <w:fldChar w:fldCharType="separate"/>
    </w:r>
    <w:r w:rsidR="0097427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C3381" w14:textId="77777777" w:rsidR="0072321A" w:rsidRDefault="0072321A">
      <w:pPr>
        <w:spacing w:after="0" w:line="240" w:lineRule="auto"/>
      </w:pPr>
      <w:r>
        <w:separator/>
      </w:r>
    </w:p>
  </w:footnote>
  <w:footnote w:type="continuationSeparator" w:id="0">
    <w:p w14:paraId="3ECAF2B7" w14:textId="77777777" w:rsidR="0072321A" w:rsidRDefault="0072321A">
      <w:pPr>
        <w:spacing w:after="0" w:line="240" w:lineRule="auto"/>
      </w:pPr>
      <w:r>
        <w:continuationSeparator/>
      </w:r>
    </w:p>
  </w:footnote>
</w:footnotes>
</file>

<file path=word/headerDuoc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4D8DE"/>
      </w:pBdr>
      <w:tabs>
        <w:tab w:val="right" w:pos="9400"/>
      </w:tabs>
      <w:spacing w:before="0" w:after="0" w:line="240" w:lineRule="auto"/>
    </w:pPr>
    <w:r>
      <w:rPr>
        <w:rFonts w:ascii="Arial" w:hAnsi="Arial" w:cs="Arial"/>
        <w:color w:val="6B7280"/>
        <w:sz w:val="15"/>
      </w:rPr>
      <w:t>DUOC UC · ESCUELA DE INFORMÁTICA Y TELECOMUNICACIONES</w:t>
    </w:r>
    <w:r>
      <w:rPr>
        <w:rFonts w:ascii="Arial" w:hAnsi="Arial" w:cs="Arial"/>
        <w:color w:val="6B7280"/>
        <w:sz w:val="15"/>
      </w:rPr>
      <w:tab/>
      <w:t>ARQUITECTURA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 w16cid:durableId="504324147">
    <w:abstractNumId w:val="8"/>
  </w:num>
  <w:num w:numId="2" w16cid:durableId="553931211">
    <w:abstractNumId w:val="6"/>
  </w:num>
  <w:num w:numId="3" w16cid:durableId="1784422012">
    <w:abstractNumId w:val="5"/>
  </w:num>
  <w:num w:numId="4" w16cid:durableId="790786128">
    <w:abstractNumId w:val="4"/>
  </w:num>
  <w:num w:numId="5" w16cid:durableId="526069454">
    <w:abstractNumId w:val="7"/>
  </w:num>
  <w:num w:numId="6" w16cid:durableId="1671525693">
    <w:abstractNumId w:val="3"/>
  </w:num>
  <w:num w:numId="7" w16cid:durableId="1203246167">
    <w:abstractNumId w:val="2"/>
  </w:num>
  <w:num w:numId="8" w16cid:durableId="1357151347">
    <w:abstractNumId w:val="1"/>
  </w:num>
  <w:num w:numId="9" w16cid:durableId="61348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670"/>
    <w:rsid w:val="0029639D"/>
    <w:rsid w:val="00326F90"/>
    <w:rsid w:val="0072321A"/>
    <w:rsid w:val="00974275"/>
    <w:rsid w:val="00A33F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C79961"/>
  <w14:defaultImageDpi w14:val="300"/>
  <w15:docId w15:val="{72F39323-3265-4D7E-9C19-7317ED4C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eastAsia="Arial" w:cs="Ari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1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300" w:after="110" w:line="276" w:lineRule="auto"/>
      <w:outlineLvl w:val="2"/>
    </w:pPr>
    <w:rPr>
      <w:rFonts w:ascii="Arial" w:hAnsi="Arial" w:eastAsia="Arial" w:cs="Arial"/>
      <w:b/>
      <w:bCs/>
      <w:color w:val="1C3557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1C3557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470B8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Arial" w:hAnsi="Arial" w:eastAsia="Arial" w:cs="Arial"/>
      <w:b/>
      <w:bCs/>
      <w:color w:val="1C3557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Arial" w:hAnsi="Arial" w:eastAsia="Arial" w:cs="Arial"/>
      <w:b/>
      <w:bCs/>
      <w:color w:val="4470B8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Arial" w:hAnsi="Arial" w:eastAsia="Arial" w:cs="Arial"/>
      <w:b/>
      <w:bCs/>
      <w:color w:val="4470B8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470B8"/>
      </w:pBdr>
      <w:spacing w:after="300" w:line="240" w:lineRule="auto"/>
      <w:contextualSpacing/>
    </w:pPr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Arial" w:hAnsi="Arial" w:eastAsia="Arial" w:cs="Arial"/>
      <w:b/>
      <w:bCs/>
      <w:i/>
      <w:iCs/>
      <w:color w:val="4470B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Arial" w:hAnsi="Arial" w:eastAsia="Arial" w:cs="Arial"/>
      <w:color w:val="243F6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Arial" w:hAnsi="Arial" w:eastAsia="Arial" w:cs="Arial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Arial" w:hAnsi="Arial" w:eastAsia="Arial" w:cs="Arial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Arial" w:hAnsi="Arial" w:eastAsia="Arial" w:cs="Arial"/>
      <w:color w:val="4470B8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Arial" w:hAnsi="Arial" w:eastAsia="Arial" w:cs="Arial"/>
      <w:i/>
      <w:iCs/>
      <w:color w:val="40404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470B8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470B8"/>
      </w:pBdr>
      <w:spacing w:before="200" w:after="280"/>
      <w:ind w:left="936" w:right="936"/>
    </w:pPr>
    <w:rPr>
      <w:b/>
      <w:bCs/>
      <w:i/>
      <w:iCs/>
      <w:color w:val="4470B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470B8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470B8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1C3557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1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470B8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0B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0B8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0B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0B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470B8"/>
          <w:insideV w:val="single" w:sz="6" w:space="0" w:color="4470B8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470B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C355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470B8"/>
        <w:bottom w:val="single" w:sz="4" w:space="0" w:color="4470B8"/>
        <w:right w:val="single" w:sz="4" w:space="0" w:color="4470B8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1C3557"/>
      </w:tcPr>
    </w:tblStylePr>
    <w:tblStylePr w:type="lastCol">
      <w:rPr>
        <w:color w:val="FFFFFF"/>
      </w:rPr>
      <w:tblPr/>
      <w:tcPr>
        <w:shd w:val="clear" w:color="auto" w:fill="1C3557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7427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742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DuocHdr" Type="http://schemas.openxmlformats.org/officeDocument/2006/relationships/header" Target="headerDuoc.xml"/><Relationship Id="rIdDuocLogo" Type="http://schemas.openxmlformats.org/officeDocument/2006/relationships/image" Target="media/duoc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3258</Words>
  <Characters>17898</Characters>
  <Application>Microsoft Office Word</Application>
  <DocSecurity>0</DocSecurity>
  <Lines>499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Alexssander López</dc:creator>
  <cp:keywords/>
  <dc:description>generated by python-docx</dc:description>
  <cp:lastModifiedBy>Alexssander López</cp:lastModifiedBy>
  <cp:revision>2</cp:revision>
  <dcterms:created xsi:type="dcterms:W3CDTF">2026-09-29T15:36:00Z</dcterms:created>
  <dcterms:modified xsi:type="dcterms:W3CDTF">2026-09-29T15:36:00Z</dcterms:modified>
  <cp:category/>
</cp:coreProperties>
</file>