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Duo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drawing>
          <wp:inline distT="0" distB="0" distL="0" distR="0">
            <wp:extent cx="1463040" cy="362363"/>
            <wp:docPr id="9901" name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uoc_logo.png"/>
                    <pic:cNvPicPr/>
                  </pic:nvPicPr>
                  <pic:blipFill>
                    <a:blip r:embed="rIdDuoc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 w:eastAsia="Arial" w:cs="Arial"/>
          <w:sz w:val="52"/>
          <w:szCs w:val="52"/>
          <w:color w:val="1C3557"/>
        </w:rPr>
        <w:t xml:space="preserve">Expediente de Sprint 1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 w:val="false"/>
                <w:bCs w:val="false"/>
                <w:sz w:val="20"/>
                <w:szCs w:val="20"/>
                <w:color w:val="FFFFFF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31/08/2026 al 11/09/2026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Habilitar el acceso seguro a la plataforma con usuarios, roles, permisos y contexto de empresa y vendedor, como base para operar los demás módulos.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Cerrado: Sprint Review y Sprint Retrospective del 11/09/2026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(10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31/08/2026 al 11/09/2026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y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v0.1.0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31/08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07/09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11/09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 (este sprint)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Matías Orellana,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Millaray Espósito,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Alexssander López.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69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85%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historial: primer sprint (referencia del Product Backlog: 24 a 29 SP)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Habilitar el acceso seguro a la plataforma con usuarios, roles, permisos y contexto de empresa y vendedor, como base para operar los demás módulos.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usuario activo inicia sesión y solo ve las funciones permitidas por su rol, área y cargo.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El administrador gestiona usuarios, permisos, grupos autorizadores, SlpCode y escalas de comisión.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vendedor con códigos en ambas empresas cambia la empresa activa y la interfaz lo refleja.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SP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HU-001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Autenticarse en la plataforma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CP-001 a CP-003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HU-002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Administrar usuarios y perfiles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CP-004 a CP-006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HU-003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Configurar permisos y grupos de autorización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CP-007 a CP-010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HU-004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Configurar empresas, vendedores y comisiones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HU-002, HU-003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CP-011 a CP-014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ID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el inicio y cierre de sesión con la autenticación de Django y la pantalla de acceso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Bloquear el acceso de usuarios desactivados y mostrar mensajes de error claros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el hash de contraseñas y la expiración de la sesión por inactividad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la auditoría de accesos e intentos fallidos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T-1.05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CP-001 a CP-003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T-1.06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área, cargo, rol y perfil de usuario, con sus migraciones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T-1.07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Mantenedor de usuarios con área, cargo y rol obligatorios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T-1.08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Desactivación y reactivación de usuarios conservando su historial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Restringir la administración de usuarios al administrador, validado en el servidor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T-1.10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CP-004 a CP-006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 de permisos directos, por área y por cargo, y cálculo de permisos efectivos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centralizada de permisos en el servidor para cada vista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Grupos autorizadores por tipo de solicitud con al menos un integrante activo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Pantallas de administración de permisos y grupos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T-1.15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CP-007 a CP-010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T-1.16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SlpCode por empresa y escala de comisión, con sus migraciones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T-1.17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Asignación de SlpCode y escala de comisión en el perfil del vendedor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T-1.18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Selector de empresa activa en la barra de navegación y colores por empresa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CP-011 a CP-014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T-1.20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el repositorio privado, las ramas protegidas, el tablero y el archivo .env.example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Cargar datos ficticios de demostración: usuarios, áreas, cargos y empresas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v0.1.0 y preparar la demostración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69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—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Sin cambios al Sprint Backlog.</w:t>
            </w:r>
          </w:p>
        </w:tc>
        <w:tc>
          <w:tcPr>
            <w:tcW w:type="dxa" w:w="2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Se completaron las historias y tareas planificadas.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Matías Orellana (Product Owner)</w:t>
            </w: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Secuencia obligatoria dentro del sprint: HU-002 depende de HU-001; HU-003 de HU-002; HU-004 de HU-002 y HU-003.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atraso en HU-001 o HU-002 retrasa todo el sprint.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Completar HU-001 y los modelos de HU-002 durante la primera semana.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Exposición de credenciales o datos al configurar el repositorio y el ambiente.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Variables de entorno, .env fuera del repositorio y solo datos ficticios.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Disponibilidad limitada de los integrantes en el primer sprint.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 declarada por integrante y reserva cercana al 15%.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Perfiles y permisos definidos sin validación de la organización.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Revisar la matriz de perfiles con la Jefatura de TI en la Sprint Review.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R-06, R-14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ID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D-S1-01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el sistema de autenticación de Django con su hash de contraseñas por defecto.</w:t>
            </w:r>
          </w:p>
        </w:tc>
        <w:tc>
          <w:tcPr>
            <w:tcW w:type="dxa" w:w="2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Implementación propia de autenticación.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un mecanismo probado, cumple RNF-01 y reduce el riesgo de errores de seguridad.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D-S1-02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los permisos con un componente común del servidor que reutilicen todas las vistas.</w:t>
            </w:r>
          </w:p>
        </w:tc>
        <w:tc>
          <w:tcPr>
            <w:tcW w:type="dxa" w:w="2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en cada vista por separado.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 omisiones y cumple RNF-02 de forma uniforme.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Aplicada</w:t>
            </w: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ID</w:t>
            </w:r>
          </w:p>
        </w:tc>
        <w:tc>
          <w:tcPr>
            <w:tcW w:type="dxa" w:w="11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I-S1-01</w:t>
            </w:r>
          </w:p>
        </w:tc>
        <w:tc>
          <w:tcPr>
            <w:tcW w:type="dxa" w:w="11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31/08 al 11/09</w:t>
            </w:r>
          </w:p>
        </w:tc>
        <w:tc>
          <w:tcPr>
            <w:tcW w:type="dxa" w:w="26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Acceso remoto a SAP Business One limitado para validar con datos reales.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HU-004 y validaciones contra SAP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Se trabajó con el modo simulado de SAP y se coordinó el acceso remoto con TI de la empresa.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Resuelto en el Sprint 2</w:t>
            </w: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Caso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CP-001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Inicio de sesión con credenciales válidas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accede a la plataforma y ve solo las opciones correspondientes a sus permisos.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CP-002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denegado con credenciales inválidas o usuario desactivado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ambos casos se impide el acceso y se muestra un mensaje claro.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CP-003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de contraseña, expiración de sesión y auditoría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contraseña está almacenada como hash, la sesión expira y el intento fallido queda registrado con usuario, fecha y hora.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CP-004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y edición de usuario con área, cargo y rol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exige área, cargo y rol; con datos completos el usuario se crea y la edición se guarda.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CP-005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Desactivación y reactivación sin pérdida de historial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pasa a Inactivo y luego a Activo; su historial y registros se conservan.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CP-006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Operaciones exclusivas del administrador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vendedor recibe acceso denegado validado en el servidor y el usuario desactivado no puede iniciar sesión.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CP-007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Cálculo de permisos efectivos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dispone de la suma de los tres permisos; al quitar el del área deja de ver esa función.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CP-008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permisos en el servidor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servidor rechaza la operación aunque la opción esté oculta en la interfaz.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CP-009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grupos autorizadores por tipo de solicitud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grupo se crea y modifica; el sistema impide guardarlo sin al menos un integrante activo.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CP-010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permisos exclusiva del administrador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administrador guarda los cambios; el no administrador recibe acceso denegado.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CP-011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Asociación de SlpCode por empresa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SlpCode queda vinculado a su empresa y al usuario.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CP-012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Asignación de escala de comisión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primero usa Escala 2 y el segundo la escala predeterminada.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CP-013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Visibilidad del selector de empresa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selector aparece solo al vendedor con códigos en ambas empresas.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CP-014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Cambio de empresa activa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Consultas y documentos usan la empresa activa; la interfaz se muestra roja para Marsella y celeste para Asland.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EV-014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v0.1.0 en main con sus notas de versión.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Etiqueta v0.1.0 en GitHub (etapas 1 a 3), creada en el cierre del Sprint 1 (develop → main).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Por publicar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Demostración en la Sprint Review del 11/09/2026.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Realizada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EV-001 a EV-014.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Matriz de trazabilidad, hoja «Casos y evidencias».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Completa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Ejecución del 02/10/2026: 345 pruebas automatizadas sin fallas (usuarios, permisos, notificaciones, multiempresa, vendedores y acceso a módulos).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Completa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Pull Requests de las etapas 1 y 3 hacia develop. La asignación de escala de comisión de HU-004 se publica con la etapa 6.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Por publicar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de TI / Sistemas; Seguridad de la Información y Privacidad; Recursos Humanos (áreas y cargos).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Equipo de desarrollo (Matías Orellana, Millaray Espósito y Alexssander López); Product Owner del sprint (Matías Orellana); jefe de proyecto y directiva de Grupo Gómez Hermanos.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 (29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HU-001, HU-002, HU-003 y HU-004.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Ninguna.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29 de 29.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Sí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Se agrega como criterio de interfaz conservar la identidad visual de cada empresa (colores, logos y elementos representativos). La asignación de escala de comisión de HU-004 se publica en el repositorio con la etapa 6.</w:t>
            </w: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Jefe de proyecto y directiva de Grupo Gómez Hermanos</w:t>
            </w:r>
          </w:p>
        </w:tc>
        <w:tc>
          <w:tcPr>
            <w:tcW w:type="dxa" w:w="3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Conservar la identidad de cada empresa: colores, logos y elementos representativos.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Se agrega como criterio de aceptación de interfaz para las historias con pantallas.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Millaray Espósito (Product Owner del Sprint 2)</w:t>
            </w: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Se aceptaron las cuatro historias y la Sprint Review contó con el jefe de proyecto y la directiva de la empresa.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Dependemos del acceso remoto a SAP para validar con datos reales.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Coordinar con TI de la empresa el acceso remoto y el aviso previo de las mantenciones.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El modo simulado de SAP permitió avanzar sin acceso remoto.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La identidad visual de cada empresa no estaba definida desde el inicio.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Incorporar los colores y logos de cada empresa en las pantallas.</w:t>
            </w: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Coordinar con TI de la empresa el acceso remoto a SAP y el aviso previo de las mantenciones del servidor.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Matías Orellana (responsable de integración del Sprint 2)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Cumplida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Incorporar los colores y logos de cada empresa en las pantallas.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Millaray Espósito (Product Owner del Sprint 2)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Cumplida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31/08/2026</w:t>
            </w:r>
          </w:p>
        </w:tc>
        <w:tc>
          <w:tcPr>
            <w:tcW w:type="dxa" w:w="46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Espósito (Scrum Master)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1.1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02/10/2026</w:t>
            </w:r>
          </w:p>
        </w:tc>
        <w:tc>
          <w:tcPr>
            <w:tcW w:type="dxa" w:w="46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Cierre del sprint: seguimiento, casos de prueba, Sprint Review y Sprint Retrospective del 11/09/2026 registrados.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Millaray Espósito (Scrum Master)</w:t>
            </w:r>
          </w:p>
        </w:tc>
      </w:tr>
    </w:tbl>
    <w:sectPr>
      <w:headerReference w:type="default" r:id="rIdDuocHdr"/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1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Duoc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4D8DE"/>
      </w:pBdr>
      <w:tabs>
        <w:tab w:val="right" w:pos="9400"/>
      </w:tabs>
      <w:spacing w:before="0" w:after="0" w:line="240" w:lineRule="auto"/>
    </w:pPr>
    <w:r>
      <w:rPr>
        <w:rFonts w:ascii="Arial" w:hAnsi="Arial" w:cs="Arial"/>
        <w:color w:val="6B7280"/>
        <w:sz w:val="15"/>
      </w:rPr>
      <w:t>DUOC UC · ESCUELA DE INFORMÁTICA Y TELECOMUNICACIONES</w:t>
    </w:r>
    <w:r>
      <w:rPr>
        <w:rFonts w:ascii="Arial" w:hAnsi="Arial" w:cs="Arial"/>
        <w:color w:val="6B7280"/>
        <w:sz w:val="15"/>
      </w:rPr>
      <w:tab/>
      <w:t>SPRINT 1: SPRINT BACKLOG, REVIEW Y RETROSPECTIVA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00" w:after="110" w:line="276" w:lineRule="auto"/>
      <w:outlineLvl w:val="1"/>
    </w:pPr>
    <w:rPr>
      <w:rFonts w:ascii="Arial" w:hAnsi="Arial" w:eastAsia="Arial" w:cs="Arial"/>
      <w:b/>
      <w:bCs/>
      <w:color w:val="1C3557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20" w:after="80" w:line="276" w:lineRule="auto"/>
      <w:outlineLvl w:val="2"/>
    </w:pPr>
    <w:rPr>
      <w:rFonts w:ascii="Arial" w:hAnsi="Arial" w:eastAsia="Arial" w:cs="Arial"/>
      <w:b/>
      <w:bCs/>
      <w:color w:val="4470B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1C3557"/>
    </w:rPr>
  </w:style>
  <w:style w:type="paragraph" w:styleId="Heading5">
    <w:name w:val="Heading 5"/>
    <w:basedOn w:val="Normal"/>
    <w:next w:val="Normal"/>
    <w:qFormat/>
    <w:rPr>
      <w:color w:val="1C3557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rial" w:hAnsi="Arial" w:eastAsia="Arial" w:cs="Arial"/>
      <w:color w:val="1C355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DuocHdr" Type="http://schemas.openxmlformats.org/officeDocument/2006/relationships/header" Target="headerDuoc.xml"/><Relationship Id="rIdDuocLogo" Type="http://schemas.openxmlformats.org/officeDocument/2006/relationships/image" Target="media/duoc_log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Millaray Espósito</dc:creator>
  <cp:lastModifiedBy>Millaray Espósito</cp:lastModifiedBy>
  <cp:revision>1</cp:revision>
  <dcterms:created xsi:type="dcterms:W3CDTF">2026-09-27T22:59:43.081Z</dcterms:created>
  <dcterms:modified xsi:type="dcterms:W3CDTF">2026-09-27T22:59:43.083Z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