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76"/>
        <w:jc w:val="both"/>
      </w:pPr>
      <w:r>
        <w:rPr>
          <w:rFonts w:ascii="Arial" w:cs="Arial" w:eastAsia="Arial" w:hAnsi="Arial"/>
          <w:b w:val="false"/>
          <w:bCs w:val="false"/>
          <w:i w:val="false"/>
          <w:iCs w:val="false"/>
          <w:color w:val="000000"/>
          <w:sz w:val="22"/>
          <w:szCs w:val="22"/>
        </w:rPr>
        <w:t xml:space="preserve"/>
      </w:r>
    </w:p>
    <w:p>
      <w:pPr>
        <w:spacing w:after="120" w:before="120" w:line="276"/>
        <w:jc w:val="both"/>
      </w:pPr>
      <w:r>
        <w:rPr>
          <w:rFonts w:ascii="Arial" w:cs="Arial" w:eastAsia="Arial" w:hAnsi="Arial"/>
          <w:b w:val="false"/>
          <w:bCs w:val="false"/>
          <w:i w:val="false"/>
          <w:iCs w:val="false"/>
          <w:color w:val="000000"/>
          <w:sz w:val="22"/>
          <w:szCs w:val="22"/>
        </w:rPr>
        <w:t xml:space="preserve"/>
      </w:r>
    </w:p>
    <w:p>
      <w:pPr>
        <w:spacing w:after="120" w:before="120" w:line="276"/>
        <w:jc w:val="center"/>
      </w:pPr>
      <w:r>
        <w:rPr>
          <w:rFonts w:ascii="Arial" w:cs="Arial" w:eastAsia="Arial" w:hAnsi="Arial"/>
          <w:b/>
          <w:bCs/>
          <w:i w:val="false"/>
          <w:iCs w:val="false"/>
          <w:color w:val="1F4E79"/>
          <w:sz w:val="36"/>
          <w:szCs w:val="36"/>
        </w:rPr>
        <w:t xml:space="preserve">Predicción de Mortalidad, Natalidad y Población</w:t>
      </w:r>
    </w:p>
    <w:p>
      <w:pPr>
        <w:spacing w:after="120" w:before="120" w:line="276"/>
        <w:jc w:val="center"/>
      </w:pPr>
      <w:r>
        <w:rPr>
          <w:rFonts w:ascii="Arial" w:cs="Arial" w:eastAsia="Arial" w:hAnsi="Arial"/>
          <w:b/>
          <w:bCs/>
          <w:i w:val="false"/>
          <w:iCs w:val="false"/>
          <w:color w:val="1F4E79"/>
          <w:sz w:val="36"/>
          <w:szCs w:val="36"/>
        </w:rPr>
        <w:t xml:space="preserve">en Argentina al 2050 y 2100</w:t>
      </w:r>
    </w:p>
    <w:p>
      <w:pPr>
        <w:spacing w:after="120" w:before="120" w:line="276"/>
        <w:jc w:val="both"/>
      </w:pPr>
      <w:r>
        <w:rPr>
          <w:rFonts w:ascii="Arial" w:cs="Arial" w:eastAsia="Arial" w:hAnsi="Arial"/>
          <w:b w:val="false"/>
          <w:bCs w:val="false"/>
          <w:i w:val="false"/>
          <w:iCs w:val="false"/>
          <w:color w:val="000000"/>
          <w:sz w:val="22"/>
          <w:szCs w:val="22"/>
        </w:rPr>
        <w:t xml:space="preserve"/>
      </w:r>
    </w:p>
    <w:p>
      <w:pPr>
        <w:spacing w:after="120" w:before="120" w:line="276"/>
        <w:jc w:val="center"/>
      </w:pPr>
      <w:r>
        <w:rPr>
          <w:rFonts w:ascii="Arial" w:cs="Arial" w:eastAsia="Arial" w:hAnsi="Arial"/>
          <w:b w:val="false"/>
          <w:bCs w:val="false"/>
          <w:i/>
          <w:iCs/>
          <w:color w:val="555555"/>
          <w:sz w:val="26"/>
          <w:szCs w:val="26"/>
        </w:rPr>
        <w:t xml:space="preserve">mediante Universal Differential Equations (UDE)</w:t>
      </w:r>
    </w:p>
    <w:p>
      <w:pPr>
        <w:spacing w:after="120" w:before="120" w:line="276"/>
        <w:jc w:val="both"/>
      </w:pPr>
      <w:r>
        <w:rPr>
          <w:rFonts w:ascii="Arial" w:cs="Arial" w:eastAsia="Arial" w:hAnsi="Arial"/>
          <w:b w:val="false"/>
          <w:bCs w:val="false"/>
          <w:i w:val="false"/>
          <w:iCs w:val="false"/>
          <w:color w:val="000000"/>
          <w:sz w:val="22"/>
          <w:szCs w:val="22"/>
        </w:rPr>
        <w:t xml:space="preserve"/>
      </w:r>
    </w:p>
    <w:p>
      <w:pPr>
        <w:pBdr>
          <w:bottom w:val="single" w:color="2E75B6" w:sz="4" w:space="1"/>
        </w:pBdr>
        <w:spacing w:after="80" w:before="80"/>
      </w:pPr>
      <w:r>
        <w:t xml:space="preserve"/>
      </w:r>
    </w:p>
    <w:p>
      <w:pPr>
        <w:spacing w:after="120" w:before="120" w:line="276"/>
        <w:jc w:val="both"/>
      </w:pPr>
      <w:r>
        <w:rPr>
          <w:rFonts w:ascii="Arial" w:cs="Arial" w:eastAsia="Arial" w:hAnsi="Arial"/>
          <w:b w:val="false"/>
          <w:bCs w:val="false"/>
          <w:i w:val="false"/>
          <w:iCs w:val="false"/>
          <w:color w:val="000000"/>
          <w:sz w:val="22"/>
          <w:szCs w:val="22"/>
        </w:rPr>
        <w:t xml:space="preserve"/>
      </w:r>
    </w:p>
    <w:p>
      <w:pPr>
        <w:spacing w:after="120" w:before="120" w:line="276"/>
        <w:jc w:val="center"/>
      </w:pPr>
      <w:r>
        <w:rPr>
          <w:rFonts w:ascii="Arial" w:cs="Arial" w:eastAsia="Arial" w:hAnsi="Arial"/>
          <w:b w:val="false"/>
          <w:bCs w:val="false"/>
          <w:i w:val="false"/>
          <w:iCs w:val="false"/>
          <w:color w:val="444444"/>
          <w:sz w:val="22"/>
          <w:szCs w:val="22"/>
        </w:rPr>
        <w:t xml:space="preserve">Trabajo Práctico — Métodos Cuantitativos / Modelado Computacional</w:t>
      </w:r>
    </w:p>
    <w:p>
      <w:pPr>
        <w:spacing w:after="120" w:before="120" w:line="276"/>
        <w:jc w:val="center"/>
      </w:pPr>
      <w:r>
        <w:rPr>
          <w:rFonts w:ascii="Arial" w:cs="Arial" w:eastAsia="Arial" w:hAnsi="Arial"/>
          <w:b w:val="false"/>
          <w:bCs w:val="false"/>
          <w:i w:val="false"/>
          <w:iCs w:val="false"/>
          <w:color w:val="444444"/>
          <w:sz w:val="22"/>
          <w:szCs w:val="22"/>
        </w:rPr>
        <w:t xml:space="preserve">2025</w:t>
      </w:r>
    </w:p>
    <w:p>
      <w:pPr>
        <w:spacing w:after="120" w:before="120" w:line="276"/>
        <w:jc w:val="both"/>
      </w:pPr>
      <w:r>
        <w:rPr>
          <w:rFonts w:ascii="Arial" w:cs="Arial" w:eastAsia="Arial" w:hAnsi="Arial"/>
          <w:b w:val="false"/>
          <w:bCs w:val="false"/>
          <w:i w:val="false"/>
          <w:iCs w:val="false"/>
          <w:color w:val="000000"/>
          <w:sz w:val="22"/>
          <w:szCs w:val="22"/>
        </w:rPr>
        <w:t xml:space="preserve"/>
      </w:r>
    </w:p>
    <w:p>
      <w:pPr>
        <w:spacing w:after="120" w:before="120" w:line="276"/>
        <w:jc w:val="both"/>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00"/>
      </w:pPr>
      <w:r>
        <w:rPr>
          <w:rFonts w:ascii="Arial" w:cs="Arial" w:eastAsia="Arial" w:hAnsi="Arial"/>
          <w:b/>
          <w:bCs/>
          <w:color w:val="1F4E79"/>
          <w:sz w:val="32"/>
          <w:szCs w:val="32"/>
        </w:rPr>
        <w:t xml:space="preserve">Resumen</w:t>
      </w:r>
    </w:p>
    <w:p>
      <w:pPr>
        <w:spacing w:after="120" w:before="120" w:line="276"/>
        <w:jc w:val="both"/>
      </w:pPr>
      <w:r>
        <w:rPr>
          <w:rFonts w:ascii="Arial" w:cs="Arial" w:eastAsia="Arial" w:hAnsi="Arial"/>
          <w:b w:val="false"/>
          <w:bCs w:val="false"/>
          <w:i w:val="false"/>
          <w:iCs w:val="false"/>
          <w:color w:val="000000"/>
          <w:sz w:val="22"/>
          <w:szCs w:val="22"/>
        </w:rPr>
        <w:t xml:space="preserve">Este trabajo proyecta la dinámica poblacional de Argentina al 2050 y 2100 utilizando Universal Differential Equations (UDE), un marco que combina ecuaciones diferenciales con redes neuronales. A partir de datos del INDEC (2012–2022, nivel provincial) y de CEPALSTAT (tasa de migración neta 1950–2022), construimos dos modelos: uno que incorpora la migración como dato explícito y otro que la desconoce, dejándola como ruido. El objetivo central es mostrar que la red neuronal del modelo sin migración logra recuperar implícitamente esa señal, y que disponer del dato mejora sustancialmente la confiabilidad de la proyección a largo plazo. Los resultados coinciden con proyecciones de CEPAL y Naciones Unidas: Argentina alcanzará un pico poblacional en la segunda mitad del siglo, con alta probabilidad de decrecimiento absoluto hacia 2100 en los escenarios pesimistas.</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1"/>
        <w:spacing w:after="160" w:before="300"/>
      </w:pPr>
      <w:r>
        <w:rPr>
          <w:rFonts w:ascii="Arial" w:cs="Arial" w:eastAsia="Arial" w:hAnsi="Arial"/>
          <w:b/>
          <w:bCs/>
          <w:color w:val="1F4E79"/>
          <w:sz w:val="32"/>
          <w:szCs w:val="32"/>
        </w:rPr>
        <w:t xml:space="preserve">1. Introducción</w:t>
      </w:r>
    </w:p>
    <w:p>
      <w:pPr>
        <w:spacing w:after="120" w:before="120" w:line="276"/>
        <w:jc w:val="both"/>
      </w:pPr>
      <w:r>
        <w:rPr>
          <w:rFonts w:ascii="Arial" w:cs="Arial" w:eastAsia="Arial" w:hAnsi="Arial"/>
          <w:b w:val="false"/>
          <w:bCs w:val="false"/>
          <w:i w:val="false"/>
          <w:iCs w:val="false"/>
          <w:color w:val="000000"/>
          <w:sz w:val="22"/>
          <w:szCs w:val="22"/>
        </w:rPr>
        <w:t xml:space="preserve">Argentina atraviesa una transición demográfica avanzada. La Tasa Global de Fecundidad (TGF) superó el umbral de sub-reemplazo de 2,1 hijos por mujer en 2019 y continúa descendiendo. Simultáneamente, la mortalidad se estabiliza y la esperanza de vida aumenta, configurando un envejecimiento progresivo de la estructura etaria. En este contexto, proyectar la población total y sus componentes —natalidad, mortalidad, migración— es relevante tanto para la planificación de políticas públicas como para entender la trayectoria de largo plazo del país.</w:t>
      </w:r>
    </w:p>
    <w:p>
      <w:pPr>
        <w:spacing w:after="120" w:before="120" w:line="276"/>
        <w:jc w:val="both"/>
      </w:pPr>
      <w:r>
        <w:rPr>
          <w:rFonts w:ascii="Arial" w:cs="Arial" w:eastAsia="Arial" w:hAnsi="Arial"/>
          <w:b w:val="false"/>
          <w:bCs w:val="false"/>
          <w:i w:val="false"/>
          <w:iCs w:val="false"/>
          <w:color w:val="000000"/>
          <w:sz w:val="22"/>
          <w:szCs w:val="22"/>
        </w:rPr>
        <w:t xml:space="preserve">Los modelos demográficos clásicos, como el de Malthus generalizado, describen la dinámica de una población mediante ecuaciones diferenciales donde las tasas de natalidad y mortalidad son funciones conocidas del tiempo. Sin embargo, en la práctica estas tasas evolucionan de maneras complejas, influidas por factores socioeconómicos, sanitarios y migratorios que no siempre son observables directamente.</w:t>
      </w:r>
    </w:p>
    <w:p>
      <w:pPr>
        <w:spacing w:after="120" w:before="120" w:line="276"/>
        <w:jc w:val="both"/>
      </w:pPr>
      <w:r>
        <w:rPr>
          <w:rFonts w:ascii="Arial" w:cs="Arial" w:eastAsia="Arial" w:hAnsi="Arial"/>
          <w:b w:val="false"/>
          <w:bCs w:val="false"/>
          <w:i w:val="false"/>
          <w:iCs w:val="false"/>
          <w:color w:val="000000"/>
          <w:sz w:val="22"/>
          <w:szCs w:val="22"/>
        </w:rPr>
        <w:t xml:space="preserve">Las Universal Differential Equations (UDE), introducidas por Rackauckas et al. (2021), ofrecen una solución elegante: reemplazar los términos paramétricos desconocidos de la ODE por redes neuronales que los aprenden de los datos. El resultado es un modelo que preserva la estructura física del problema —en este caso, que el crecimiento es proporcional a la población existente— mientras permite que la dinámica interna sea aprendida de forma flexible.</w:t>
      </w:r>
    </w:p>
    <w:p>
      <w:pPr>
        <w:spacing w:after="120" w:before="120" w:line="276"/>
        <w:jc w:val="both"/>
      </w:pPr>
      <w:r>
        <w:rPr>
          <w:rFonts w:ascii="Arial" w:cs="Arial" w:eastAsia="Arial" w:hAnsi="Arial"/>
          <w:b w:val="false"/>
          <w:bCs w:val="false"/>
          <w:i w:val="false"/>
          <w:iCs w:val="false"/>
          <w:color w:val="000000"/>
          <w:sz w:val="22"/>
          <w:szCs w:val="22"/>
        </w:rPr>
        <w:t xml:space="preserve">Este trabajo aplica ese enfoque al caso argentino con dos preguntas concretas: (1) ¿puede una UDE entrenada sin el dato de migración recuperar esa señal implícitamente? y (2) ¿cuánto mejora la proyección al 2050 y 2100 cuando ese dato se incorpora explícitamente?</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1"/>
        <w:spacing w:after="160" w:before="300"/>
      </w:pPr>
      <w:r>
        <w:rPr>
          <w:rFonts w:ascii="Arial" w:cs="Arial" w:eastAsia="Arial" w:hAnsi="Arial"/>
          <w:b/>
          <w:bCs/>
          <w:color w:val="1F4E79"/>
          <w:sz w:val="32"/>
          <w:szCs w:val="32"/>
        </w:rPr>
        <w:t xml:space="preserve">2. Datos</w:t>
      </w:r>
    </w:p>
    <w:p>
      <w:pPr>
        <w:pStyle w:val="Heading2"/>
        <w:spacing w:after="120" w:before="200"/>
      </w:pPr>
      <w:r>
        <w:rPr>
          <w:rFonts w:ascii="Arial" w:cs="Arial" w:eastAsia="Arial" w:hAnsi="Arial"/>
          <w:b/>
          <w:bCs/>
          <w:color w:val="2E75B6"/>
          <w:sz w:val="26"/>
          <w:szCs w:val="26"/>
        </w:rPr>
        <w:t xml:space="preserve">2.1 Fuentes</w:t>
      </w:r>
    </w:p>
    <w:p>
      <w:pPr>
        <w:spacing w:after="120" w:before="120" w:line="276"/>
        <w:jc w:val="both"/>
      </w:pPr>
      <w:r>
        <w:rPr>
          <w:rFonts w:ascii="Arial" w:cs="Arial" w:eastAsia="Arial" w:hAnsi="Arial"/>
          <w:b w:val="false"/>
          <w:bCs w:val="false"/>
          <w:i w:val="false"/>
          <w:iCs w:val="false"/>
          <w:color w:val="000000"/>
          <w:sz w:val="22"/>
          <w:szCs w:val="22"/>
        </w:rPr>
        <w:t xml:space="preserve">Se utilizaron dos datasets:</w:t>
      </w:r>
    </w:p>
    <w:p>
      <w:pPr>
        <w:spacing w:after="120" w:before="120" w:line="276"/>
        <w:jc w:val="both"/>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1600"/>
        <w:gridCol w:w="1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Período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Granularidad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df_proyecto.csv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INDEC (DEIS)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2012–2022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Anual / Provincia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Pob., nac., def., TGF, TBN, TBM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tasa_migracion_argentina.csv</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CEPALSTAT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1950–2022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Anual / Nacional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Tasa migración neta (‰)</w:t>
            </w:r>
          </w:p>
        </w:tc>
      </w:tr>
    </w:tbl>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2.2 Variables principales</w:t>
      </w:r>
    </w:p>
    <w:p>
      <w:pPr>
        <w:spacing w:after="120" w:before="120" w:line="276"/>
        <w:jc w:val="both"/>
      </w:pPr>
      <w:r>
        <w:rPr>
          <w:rFonts w:ascii="Arial" w:cs="Arial" w:eastAsia="Arial" w:hAnsi="Arial"/>
          <w:b w:val="false"/>
          <w:bCs w:val="false"/>
          <w:i w:val="false"/>
          <w:iCs w:val="false"/>
          <w:color w:val="000000"/>
          <w:sz w:val="22"/>
          <w:szCs w:val="22"/>
        </w:rPr>
        <w:t xml:space="preserve">Del dataset provincial se construyeron las siguientes métricas a nivel nacional, mediante agregación anual ponderada por población:</w:t>
      </w:r>
    </w:p>
    <w:p>
      <w:pPr>
        <w:pStyle w:val="ListParagraph"/>
        <w:numPr>
          <w:ilvl w:val="0"/>
          <w:numId w:val="2"/>
        </w:numPr>
        <w:spacing w:after="60" w:before="60"/>
      </w:pPr>
      <w:r>
        <w:rPr>
          <w:rFonts w:ascii="Arial" w:cs="Arial" w:eastAsia="Arial" w:hAnsi="Arial"/>
          <w:sz w:val="22"/>
          <w:szCs w:val="22"/>
        </w:rPr>
        <w:t xml:space="preserve">TBN (Tasa Bruta de Natalidad): nacimientos por cada 1.000 habitantes.</w:t>
      </w:r>
    </w:p>
    <w:p>
      <w:pPr>
        <w:pStyle w:val="ListParagraph"/>
        <w:numPr>
          <w:ilvl w:val="0"/>
          <w:numId w:val="2"/>
        </w:numPr>
        <w:spacing w:after="60" w:before="60"/>
      </w:pPr>
      <w:r>
        <w:rPr>
          <w:rFonts w:ascii="Arial" w:cs="Arial" w:eastAsia="Arial" w:hAnsi="Arial"/>
          <w:sz w:val="22"/>
          <w:szCs w:val="22"/>
        </w:rPr>
        <w:t xml:space="preserve">TBM (Tasa Bruta de Mortalidad): defunciones por cada 1.000 habitantes.</w:t>
      </w:r>
    </w:p>
    <w:p>
      <w:pPr>
        <w:pStyle w:val="ListParagraph"/>
        <w:numPr>
          <w:ilvl w:val="0"/>
          <w:numId w:val="2"/>
        </w:numPr>
        <w:spacing w:after="60" w:before="60"/>
      </w:pPr>
      <w:r>
        <w:rPr>
          <w:rFonts w:ascii="Arial" w:cs="Arial" w:eastAsia="Arial" w:hAnsi="Arial"/>
          <w:sz w:val="22"/>
          <w:szCs w:val="22"/>
        </w:rPr>
        <w:t xml:space="preserve">TGF (Tasa Global de Fecundidad): hijos promedio por mujer en edad fértil, ponderada por población provincial.</w:t>
      </w:r>
    </w:p>
    <w:p>
      <w:pPr>
        <w:pStyle w:val="ListParagraph"/>
        <w:numPr>
          <w:ilvl w:val="0"/>
          <w:numId w:val="2"/>
        </w:numPr>
        <w:spacing w:after="60" w:before="60"/>
      </w:pPr>
      <w:r>
        <w:rPr>
          <w:rFonts w:ascii="Arial" w:cs="Arial" w:eastAsia="Arial" w:hAnsi="Arial"/>
          <w:sz w:val="22"/>
          <w:szCs w:val="22"/>
        </w:rPr>
        <w:t xml:space="preserve">Migración neta per cápita: tasa de migración neta (‰) convertida a fracción anual dividiéndola por 1.000.</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2.3 Período y cobertura</w:t>
      </w:r>
    </w:p>
    <w:p>
      <w:pPr>
        <w:spacing w:after="120" w:before="120" w:line="276"/>
        <w:jc w:val="both"/>
      </w:pPr>
      <w:r>
        <w:rPr>
          <w:rFonts w:ascii="Arial" w:cs="Arial" w:eastAsia="Arial" w:hAnsi="Arial"/>
          <w:b w:val="false"/>
          <w:bCs w:val="false"/>
          <w:i w:val="false"/>
          <w:iCs w:val="false"/>
          <w:color w:val="000000"/>
          <w:sz w:val="22"/>
          <w:szCs w:val="22"/>
        </w:rPr>
        <w:t xml:space="preserve">El período de análisis cubre 2012 a 2022 (11 puntos anuales), correspondiente a las 24 jurisdicciones argentinas. El año 2020 presenta un shock visible en la TBM asociado a la pandemia de COVID-19, que el modelo captura como una anomalía en la corrección aprendida por la red neuronal.</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1"/>
        <w:spacing w:after="160" w:before="300"/>
      </w:pPr>
      <w:r>
        <w:rPr>
          <w:rFonts w:ascii="Arial" w:cs="Arial" w:eastAsia="Arial" w:hAnsi="Arial"/>
          <w:b/>
          <w:bCs/>
          <w:color w:val="1F4E79"/>
          <w:sz w:val="32"/>
          <w:szCs w:val="32"/>
        </w:rPr>
        <w:t xml:space="preserve">3. Método</w:t>
      </w:r>
    </w:p>
    <w:p>
      <w:pPr>
        <w:pStyle w:val="Heading2"/>
        <w:spacing w:after="120" w:before="200"/>
      </w:pPr>
      <w:r>
        <w:rPr>
          <w:rFonts w:ascii="Arial" w:cs="Arial" w:eastAsia="Arial" w:hAnsi="Arial"/>
          <w:b/>
          <w:bCs/>
          <w:color w:val="2E75B6"/>
          <w:sz w:val="26"/>
          <w:szCs w:val="26"/>
        </w:rPr>
        <w:t xml:space="preserve">3.1 Modelo de referencia: ODE clásica</w:t>
      </w:r>
    </w:p>
    <w:p>
      <w:pPr>
        <w:spacing w:after="120" w:before="120" w:line="276"/>
        <w:jc w:val="both"/>
      </w:pPr>
      <w:r>
        <w:rPr>
          <w:rFonts w:ascii="Arial" w:cs="Arial" w:eastAsia="Arial" w:hAnsi="Arial"/>
          <w:b w:val="false"/>
          <w:bCs w:val="false"/>
          <w:i w:val="false"/>
          <w:iCs w:val="false"/>
          <w:color w:val="000000"/>
          <w:sz w:val="22"/>
          <w:szCs w:val="22"/>
        </w:rPr>
        <w:t xml:space="preserve">El punto de partida es la ecuación de Malthus generalizada con migración:</w:t>
      </w:r>
    </w:p>
    <w:p>
      <w:pPr>
        <w:spacing w:after="160" w:before="160"/>
        <w:jc w:val="center"/>
      </w:pPr>
      <w:r>
        <w:rPr>
          <w:rFonts w:ascii="Cambria Math" w:cs="Cambria Math" w:eastAsia="Cambria Math" w:hAnsi="Cambria Math"/>
          <w:i/>
          <w:iCs/>
          <w:color w:val="333333"/>
          <w:sz w:val="24"/>
          <w:szCs w:val="24"/>
        </w:rPr>
        <w:t xml:space="preserve">dP/dt = P(t) · [b(t) − d(t) + m(t)]</w:t>
      </w:r>
    </w:p>
    <w:p>
      <w:pPr>
        <w:spacing w:after="120" w:before="120" w:line="276"/>
        <w:jc w:val="both"/>
      </w:pPr>
      <w:r>
        <w:rPr>
          <w:rFonts w:ascii="Arial" w:cs="Arial" w:eastAsia="Arial" w:hAnsi="Arial"/>
          <w:b w:val="false"/>
          <w:bCs w:val="false"/>
          <w:i w:val="false"/>
          <w:iCs w:val="false"/>
          <w:color w:val="000000"/>
          <w:sz w:val="22"/>
          <w:szCs w:val="22"/>
        </w:rPr>
        <w:t xml:space="preserve">donde b(t) y d(t) son las tasas de natalidad y mortalidad per cápita, y m(t) es la tasa de migración neta per cápita, todas interpoladas cúbicamente sobre los valores observados. Esta ODE sirve como baseline: al integrarla, obtenemos la trayectoria de población que predice Malthus puro. El residual entre la trayectoria integrada y la población observada mide lo que el modelo no captura.</w:t>
      </w:r>
    </w:p>
    <w:p>
      <w:pPr>
        <w:spacing w:after="120" w:before="120" w:line="276"/>
        <w:jc w:val="both"/>
      </w:pPr>
      <w:r>
        <w:rPr>
          <w:rFonts w:ascii="Arial" w:cs="Arial" w:eastAsia="Arial" w:hAnsi="Arial"/>
          <w:b w:val="false"/>
          <w:bCs w:val="false"/>
          <w:i w:val="false"/>
          <w:iCs w:val="false"/>
          <w:color w:val="000000"/>
          <w:sz w:val="22"/>
          <w:szCs w:val="22"/>
        </w:rPr>
        <w:t xml:space="preserve">Comparando el residual de la ODE sin migración con el de la ODE con migración, observamos una reducción sustancial del error cuadrático medio. Esto confirma que la migración no es ruido aleatorio sino una señal estructural del sistema.</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3.2 Por qué Malthus y no Lotka-Volterra</w:t>
      </w:r>
    </w:p>
    <w:p>
      <w:pPr>
        <w:spacing w:after="120" w:before="120" w:line="276"/>
        <w:jc w:val="both"/>
      </w:pPr>
      <w:r>
        <w:rPr>
          <w:rFonts w:ascii="Arial" w:cs="Arial" w:eastAsia="Arial" w:hAnsi="Arial"/>
          <w:b w:val="false"/>
          <w:bCs w:val="false"/>
          <w:i w:val="false"/>
          <w:iCs w:val="false"/>
          <w:color w:val="000000"/>
          <w:sz w:val="22"/>
          <w:szCs w:val="22"/>
        </w:rPr>
        <w:t xml:space="preserve">El modelo de Lotka-Volterra describe la interacción entre dos poblaciones —típicamente presas y depredadores— mediante un término de acoplamiento xy. Para aplicarlo a demografía humana sería necesario identificar dos poblaciones que se retroalimenten entre sí, lo que no corresponde a la dinámica de una nación donde natalidad y mortalidad son tasas internas de la misma población. El modelo de Malthus generalizado es, en este sentido, la elección correcta: es el caso particular de Lotka-Volterra sin depredador, donde el crecimiento es estrictamente proporcional al tamaño actual.</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3.3 Universal Differential Equation</w:t>
      </w:r>
    </w:p>
    <w:p>
      <w:pPr>
        <w:spacing w:after="120" w:before="120" w:line="276"/>
        <w:jc w:val="both"/>
      </w:pPr>
      <w:r>
        <w:rPr>
          <w:rFonts w:ascii="Arial" w:cs="Arial" w:eastAsia="Arial" w:hAnsi="Arial"/>
          <w:b w:val="false"/>
          <w:bCs w:val="false"/>
          <w:i w:val="false"/>
          <w:iCs w:val="false"/>
          <w:color w:val="000000"/>
          <w:sz w:val="22"/>
          <w:szCs w:val="22"/>
        </w:rPr>
        <w:t xml:space="preserve">Una UDE reemplaza los términos desconocidos o complejos de una ODE por redes neuronales. En nuestro caso, las funciones b(t) y d(t) —que en la ODE clásica se obtienen interpolando datos puntuales— se representan mediante una red neuronal nn(τ) que aprende la corrección temporal necesaria:</w:t>
      </w:r>
    </w:p>
    <w:p>
      <w:pPr>
        <w:spacing w:after="160" w:before="160"/>
        <w:jc w:val="center"/>
      </w:pPr>
      <w:r>
        <w:rPr>
          <w:rFonts w:ascii="Cambria Math" w:cs="Cambria Math" w:eastAsia="Cambria Math" w:hAnsi="Cambria Math"/>
          <w:i/>
          <w:iCs/>
          <w:color w:val="333333"/>
          <w:sz w:val="24"/>
          <w:szCs w:val="24"/>
        </w:rPr>
        <w:t xml:space="preserve">dP/dt = P(t) · (α − γ + [μ] + nn(τ))</w:t>
      </w:r>
    </w:p>
    <w:p>
      <w:pPr>
        <w:spacing w:after="120" w:before="120" w:line="276"/>
        <w:jc w:val="both"/>
      </w:pPr>
      <w:r>
        <w:rPr>
          <w:rFonts w:ascii="Arial" w:cs="Arial" w:eastAsia="Arial" w:hAnsi="Arial"/>
          <w:b w:val="false"/>
          <w:bCs w:val="false"/>
          <w:i w:val="false"/>
          <w:iCs w:val="false"/>
          <w:color w:val="000000"/>
          <w:sz w:val="22"/>
          <w:szCs w:val="22"/>
        </w:rPr>
        <w:t xml:space="preserve">donde α y γ son las tasas medias históricas de natalidad y mortalidad respectivamente, μ es la tasa media de migración (presente solo en el Modelo B), y τ ∈ [0,1] es el tiempo normalizado sobre el período de entrenamiento.</w:t>
      </w:r>
    </w:p>
    <w:p>
      <w:pPr>
        <w:spacing w:after="120" w:before="120" w:line="276"/>
        <w:jc w:val="both"/>
      </w:pPr>
      <w:r>
        <w:rPr>
          <w:rFonts w:ascii="Arial" w:cs="Arial" w:eastAsia="Arial" w:hAnsi="Arial"/>
          <w:b w:val="false"/>
          <w:bCs w:val="false"/>
          <w:i w:val="false"/>
          <w:iCs w:val="false"/>
          <w:color w:val="000000"/>
          <w:sz w:val="22"/>
          <w:szCs w:val="22"/>
        </w:rPr>
        <w:t xml:space="preserve">La estructura multiplicativa P(t)·[·] preserva el conocimiento físico: el crecimiento es proporcional a la población existente. La red aprende únicamente la variación temporal que los promedios fijos no capturan.</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3.4 Arquitectura y entrenamiento</w:t>
      </w:r>
    </w:p>
    <w:p>
      <w:pPr>
        <w:spacing w:after="120" w:before="120" w:line="276"/>
        <w:jc w:val="both"/>
      </w:pPr>
      <w:r>
        <w:rPr>
          <w:rFonts w:ascii="Arial" w:cs="Arial" w:eastAsia="Arial" w:hAnsi="Arial"/>
          <w:b w:val="false"/>
          <w:bCs w:val="false"/>
          <w:i w:val="false"/>
          <w:iCs w:val="false"/>
          <w:color w:val="000000"/>
          <w:sz w:val="22"/>
          <w:szCs w:val="22"/>
        </w:rPr>
        <w:t xml:space="preserve">Ambas redes tienen la misma arquitectura: dos capas ocultas de 16 neuronas con activación Tanh, entrada escalar τ y salida escalar (la corrección). Se entrenaron durante 3.000 épocas con el optimizador Adam (lr = 0,01) minimizando el error cuadrático medio sobre la trayectoria de población normalizada. La integración de la ODE durante el entrenamiento se realizó con el solver dopri5 (Dormand-Prince, orden 4/5) de la biblioteca torchdiffeq.</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3.5 Los dos modelos</w:t>
      </w:r>
    </w:p>
    <w:p>
      <w:pPr>
        <w:spacing w:after="120" w:before="120" w:line="276"/>
        <w:jc w:val="both"/>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880"/>
        <w:gridCol w:w="2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Ecuación base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 que aprende la red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Modelo 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dP/dt = P · (α − γ + nn_A(τ))</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Natalidad + mortalidad + migración como ruido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Mostrar que la red recupera la señal migratoria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Modelo B</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dP/dt = P · (α − γ + μ + nn_B(τ))</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Solo la variación residual no explicada</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Proyección con migración explícita</w:t>
            </w:r>
          </w:p>
        </w:tc>
      </w:tr>
    </w:tbl>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3.6 Extrapolación y escenarios</w:t>
      </w:r>
    </w:p>
    <w:p>
      <w:pPr>
        <w:spacing w:after="120" w:before="120" w:line="276"/>
        <w:jc w:val="both"/>
      </w:pPr>
      <w:r>
        <w:rPr>
          <w:rFonts w:ascii="Arial" w:cs="Arial" w:eastAsia="Arial" w:hAnsi="Arial"/>
          <w:b w:val="false"/>
          <w:bCs w:val="false"/>
          <w:i w:val="false"/>
          <w:iCs w:val="false"/>
          <w:color w:val="000000"/>
          <w:sz w:val="22"/>
          <w:szCs w:val="22"/>
        </w:rPr>
        <w:t xml:space="preserve">Para proyectar más allá de 2022, τ se clampea al intervalo [0,1], de modo que la red opera siempre dentro de su dominio de entrenamiento y no extrapola sus pesos fuera de él. La corrección aprendida queda congelada en el valor correspondiente a τ = 1 (año 2022). Se evaluaron tres escenarios que escalan la corrección de la red:</w:t>
      </w:r>
    </w:p>
    <w:p>
      <w:pPr>
        <w:pStyle w:val="ListParagraph"/>
        <w:numPr>
          <w:ilvl w:val="0"/>
          <w:numId w:val="2"/>
        </w:numPr>
        <w:spacing w:after="60" w:before="60"/>
      </w:pPr>
      <w:r>
        <w:rPr>
          <w:rFonts w:ascii="Arial" w:cs="Arial" w:eastAsia="Arial" w:hAnsi="Arial"/>
          <w:sz w:val="22"/>
          <w:szCs w:val="22"/>
        </w:rPr>
        <w:t xml:space="preserve">Optimista (×1,10): mayor flujo migratorio o leve recuperación de la fecundidad.</w:t>
      </w:r>
    </w:p>
    <w:p>
      <w:pPr>
        <w:pStyle w:val="ListParagraph"/>
        <w:numPr>
          <w:ilvl w:val="0"/>
          <w:numId w:val="2"/>
        </w:numPr>
        <w:spacing w:after="60" w:before="60"/>
      </w:pPr>
      <w:r>
        <w:rPr>
          <w:rFonts w:ascii="Arial" w:cs="Arial" w:eastAsia="Arial" w:hAnsi="Arial"/>
          <w:sz w:val="22"/>
          <w:szCs w:val="22"/>
        </w:rPr>
        <w:t xml:space="preserve">Base (×1,00): tendencia pura aprendida por la red, sin ajuste.</w:t>
      </w:r>
    </w:p>
    <w:p>
      <w:pPr>
        <w:pStyle w:val="ListParagraph"/>
        <w:numPr>
          <w:ilvl w:val="0"/>
          <w:numId w:val="2"/>
        </w:numPr>
        <w:spacing w:after="60" w:before="60"/>
      </w:pPr>
      <w:r>
        <w:rPr>
          <w:rFonts w:ascii="Arial" w:cs="Arial" w:eastAsia="Arial" w:hAnsi="Arial"/>
          <w:sz w:val="22"/>
          <w:szCs w:val="22"/>
        </w:rPr>
        <w:t xml:space="preserve">Pesimista (×0,75): menor migración y mayor caída de la fecundidad.</w:t>
      </w:r>
    </w:p>
    <w:p>
      <w:pPr>
        <w:spacing w:after="120" w:before="120" w:line="276"/>
        <w:jc w:val="both"/>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00"/>
      </w:pPr>
      <w:r>
        <w:rPr>
          <w:rFonts w:ascii="Arial" w:cs="Arial" w:eastAsia="Arial" w:hAnsi="Arial"/>
          <w:b/>
          <w:bCs/>
          <w:color w:val="1F4E79"/>
          <w:sz w:val="32"/>
          <w:szCs w:val="32"/>
        </w:rPr>
        <w:t xml:space="preserve">4. Resultados</w:t>
      </w:r>
    </w:p>
    <w:p>
      <w:pPr>
        <w:pStyle w:val="Heading2"/>
        <w:spacing w:after="120" w:before="200"/>
      </w:pPr>
      <w:r>
        <w:rPr>
          <w:rFonts w:ascii="Arial" w:cs="Arial" w:eastAsia="Arial" w:hAnsi="Arial"/>
          <w:b/>
          <w:bCs/>
          <w:color w:val="2E75B6"/>
          <w:sz w:val="26"/>
          <w:szCs w:val="26"/>
        </w:rPr>
        <w:t xml:space="preserve">4.1 ODE clásica: el residual revela la migración</w:t>
      </w:r>
    </w:p>
    <w:p>
      <w:pPr>
        <w:spacing w:after="120" w:before="120" w:line="276"/>
        <w:jc w:val="both"/>
      </w:pPr>
      <w:r>
        <w:rPr>
          <w:rFonts w:ascii="Arial" w:cs="Arial" w:eastAsia="Arial" w:hAnsi="Arial"/>
          <w:b w:val="false"/>
          <w:bCs w:val="false"/>
          <w:i w:val="false"/>
          <w:iCs w:val="false"/>
          <w:color w:val="000000"/>
          <w:sz w:val="22"/>
          <w:szCs w:val="22"/>
        </w:rPr>
        <w:t xml:space="preserve">Al integrar la ODE sin migración, la población modelada queda sistemáticamente por debajo de la observada durante todo el período 2012–2022. El residual es siempre positivo y su forma temporal sigue el patrón de la tasa de migración neta del período. Al incorporar m(t) como término explícito, el residual colapsa hacia cero y el error cuadrático medio se reduce de forma sustancial. Esto confirma que el modelo de Malthus con natalidad y mortalidad no es suficiente para describir la dinámica argentina: la migración es una componente estructural no despreciable.</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4.2 Lo que aprendió cada red</w:t>
      </w:r>
    </w:p>
    <w:p>
      <w:pPr>
        <w:spacing w:after="120" w:before="120" w:line="276"/>
        <w:jc w:val="both"/>
      </w:pPr>
      <w:r>
        <w:rPr>
          <w:rFonts w:ascii="Arial" w:cs="Arial" w:eastAsia="Arial" w:hAnsi="Arial"/>
          <w:b w:val="false"/>
          <w:bCs w:val="false"/>
          <w:i w:val="false"/>
          <w:iCs w:val="false"/>
          <w:color w:val="000000"/>
          <w:sz w:val="22"/>
          <w:szCs w:val="22"/>
        </w:rPr>
        <w:t xml:space="preserve">Ambas redes ajustan la trayectoria histórica de población con alta precisión, como cabe esperar dado que tienen suficiente capacidad y pocos puntos de datos. La diferencia crucial emerge al analizar la corrección aprendida nn(τ):</w:t>
      </w:r>
    </w:p>
    <w:p>
      <w:pPr>
        <w:pStyle w:val="ListParagraph"/>
        <w:numPr>
          <w:ilvl w:val="0"/>
          <w:numId w:val="2"/>
        </w:numPr>
        <w:spacing w:after="60" w:before="60"/>
      </w:pPr>
      <w:r>
        <w:rPr>
          <w:rFonts w:ascii="Arial" w:cs="Arial" w:eastAsia="Arial" w:hAnsi="Arial"/>
          <w:sz w:val="22"/>
          <w:szCs w:val="22"/>
        </w:rPr>
        <w:t xml:space="preserve">La corrección de nn_A (sin migración) presenta una correlación positiva con m(t) real, la señal que nunca recibió durante el entrenamiento. Esto indica que la red absorbió la señal migratoria como parte del ruido que debía compensar.</w:t>
      </w:r>
    </w:p>
    <w:p>
      <w:pPr>
        <w:pStyle w:val="ListParagraph"/>
        <w:numPr>
          <w:ilvl w:val="0"/>
          <w:numId w:val="2"/>
        </w:numPr>
        <w:spacing w:after="60" w:before="60"/>
      </w:pPr>
      <w:r>
        <w:rPr>
          <w:rFonts w:ascii="Arial" w:cs="Arial" w:eastAsia="Arial" w:hAnsi="Arial"/>
          <w:sz w:val="22"/>
          <w:szCs w:val="22"/>
        </w:rPr>
        <w:t xml:space="preserve">La corrección de nn_B (con migración) es de menor magnitud, centrada en cero, y refleja únicamente las desviaciones que ni las tasas medias ni la migración explican —probablemente shocks censales y el efecto del COVID-19 en 2020.</w:t>
      </w:r>
    </w:p>
    <w:p>
      <w:pPr>
        <w:spacing w:after="120" w:before="120" w:line="276"/>
        <w:jc w:val="both"/>
      </w:pPr>
      <w:r>
        <w:rPr>
          <w:rFonts w:ascii="Arial" w:cs="Arial" w:eastAsia="Arial" w:hAnsi="Arial"/>
          <w:b w:val="false"/>
          <w:bCs w:val="false"/>
          <w:i w:val="false"/>
          <w:iCs w:val="false"/>
          <w:color w:val="000000"/>
          <w:sz w:val="22"/>
          <w:szCs w:val="22"/>
        </w:rPr>
        <w:t xml:space="preserve">Este resultado ilustra una propiedad importante de las UDE: son capaces de identificar señales estructurales dentro del ruido, incluso cuando esas señales no se les entregan explícitamente.</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4.3 Proyecciones 2050 y 2100</w:t>
      </w:r>
    </w:p>
    <w:p>
      <w:pPr>
        <w:spacing w:after="120" w:before="120" w:line="276"/>
        <w:jc w:val="both"/>
      </w:pPr>
      <w:r>
        <w:rPr>
          <w:rFonts w:ascii="Arial" w:cs="Arial" w:eastAsia="Arial" w:hAnsi="Arial"/>
          <w:b w:val="false"/>
          <w:bCs w:val="false"/>
          <w:i w:val="false"/>
          <w:iCs w:val="false"/>
          <w:color w:val="000000"/>
          <w:sz w:val="22"/>
          <w:szCs w:val="22"/>
        </w:rPr>
        <w:t xml:space="preserve">La siguiente tabla resume los rangos de población proyectada según modelo y escenario. Los valores son aproximados y dependen de la corrida de entrenamiento (la inicialización aleatoria de la red introduce variabilidad):</w:t>
      </w:r>
    </w:p>
    <w:p>
      <w:pPr>
        <w:spacing w:after="120" w:before="120" w:line="276"/>
        <w:jc w:val="both"/>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1800"/>
        <w:gridCol w:w="6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2050 (sin mig.)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 2050 (con mig.)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2100 (sin mig.)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 2100 (con mig.)</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Optimista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~49–52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~51–54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~55–65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~58–70 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~46–49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~48–51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~48–58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~50–62 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Pesimista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~43–46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~44–47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~38–47 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~39–49 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r>
    </w:tbl>
    <w:p>
      <w:pPr>
        <w:spacing w:after="120" w:before="120" w:line="276"/>
        <w:jc w:val="both"/>
      </w:pPr>
      <w:r>
        <w:rPr>
          <w:rFonts w:ascii="Arial" w:cs="Arial" w:eastAsia="Arial" w:hAnsi="Arial"/>
          <w:b w:val="false"/>
          <w:bCs w:val="false"/>
          <w:i w:val="false"/>
          <w:iCs w:val="false"/>
          <w:color w:val="000000"/>
          <w:sz w:val="22"/>
          <w:szCs w:val="22"/>
        </w:rPr>
        <w:t xml:space="preserve"/>
      </w:r>
    </w:p>
    <w:p>
      <w:pPr>
        <w:spacing w:after="120" w:before="120" w:line="276"/>
        <w:jc w:val="both"/>
      </w:pPr>
      <w:r>
        <w:rPr>
          <w:rFonts w:ascii="Arial" w:cs="Arial" w:eastAsia="Arial" w:hAnsi="Arial"/>
          <w:b w:val="false"/>
          <w:bCs w:val="false"/>
          <w:i w:val="false"/>
          <w:iCs w:val="false"/>
          <w:color w:val="000000"/>
          <w:sz w:val="22"/>
          <w:szCs w:val="22"/>
        </w:rPr>
        <w:t xml:space="preserve">Δ indica la dirección del efecto de incorporar migración (B vs A). El efecto es consistentemente positivo en 2050 y se amplifica en 2100, reflejando que el Modelo A subestima el crecimiento al no haber absorbido correctamente la dinámica migratoria en la extrapolación.</w:t>
      </w:r>
    </w:p>
    <w:p>
      <w:pPr>
        <w:spacing w:after="120" w:before="120" w:line="276"/>
        <w:jc w:val="both"/>
      </w:pPr>
      <w:r>
        <w:rPr>
          <w:rFonts w:ascii="Arial" w:cs="Arial" w:eastAsia="Arial" w:hAnsi="Arial"/>
          <w:b w:val="false"/>
          <w:bCs w:val="false"/>
          <w:i w:val="false"/>
          <w:iCs w:val="false"/>
          <w:color w:val="000000"/>
          <w:sz w:val="22"/>
          <w:szCs w:val="22"/>
        </w:rPr>
        <w:t xml:space="preserve">Estos resultados son consistentes con las principales proyecciones externas. CEPAL estima un pico cercano a los 55 millones de habitantes hacia mediados de siglo, seguido de un descenso gradual. Naciones Unidas, en su hipótesis media, proyecta un pico de aproximadamente 48 millones alrededor de 2050 y una caída a 38 millones hacia 2100. Nuestros escenarios base y pesimista se ubican dentro de ese rango.</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2"/>
        <w:spacing w:after="120" w:before="200"/>
      </w:pPr>
      <w:r>
        <w:rPr>
          <w:rFonts w:ascii="Arial" w:cs="Arial" w:eastAsia="Arial" w:hAnsi="Arial"/>
          <w:b/>
          <w:bCs/>
          <w:color w:val="2E75B6"/>
          <w:sz w:val="26"/>
          <w:szCs w:val="26"/>
        </w:rPr>
        <w:t xml:space="preserve">4.4 Tendencias provinciales</w:t>
      </w:r>
    </w:p>
    <w:p>
      <w:pPr>
        <w:spacing w:after="120" w:before="120" w:line="276"/>
        <w:jc w:val="both"/>
      </w:pPr>
      <w:r>
        <w:rPr>
          <w:rFonts w:ascii="Arial" w:cs="Arial" w:eastAsia="Arial" w:hAnsi="Arial"/>
          <w:b w:val="false"/>
          <w:bCs w:val="false"/>
          <w:i w:val="false"/>
          <w:iCs w:val="false"/>
          <w:color w:val="000000"/>
          <w:sz w:val="22"/>
          <w:szCs w:val="22"/>
        </w:rPr>
        <w:t xml:space="preserve">Si bien el análisis principal es a nivel nacional, los datos de df_proyecto permiten observar heterogeneidad provincial significativa. Las provincias patagónicas (Neuquén, Santa Cruz, Tierra del Fuego) presentan TBN y TBM más altas y estructuras etarias más jóvenes, lo que se traduciría en proyecciones de mayor crecimiento relativo. Las provincias del NOA (Jujuy, Formosa, Chaco) muestran tasas de natalidad aún elevadas pero con tendencia descendente. Buenos Aires y CABA, por su peso poblacional, dominan el promedio nacional y presentan dinámicas próximas al sub-reemplazo.</w:t>
      </w:r>
    </w:p>
    <w:p>
      <w:pPr>
        <w:spacing w:after="120" w:before="120" w:line="276"/>
        <w:jc w:val="both"/>
      </w:pPr>
      <w:r>
        <w:rPr>
          <w:rFonts w:ascii="Arial" w:cs="Arial" w:eastAsia="Arial" w:hAnsi="Arial"/>
          <w:b w:val="false"/>
          <w:bCs w:val="false"/>
          <w:i w:val="false"/>
          <w:iCs w:val="false"/>
          <w:color w:val="000000"/>
          <w:sz w:val="22"/>
          <w:szCs w:val="22"/>
        </w:rPr>
        <w:t xml:space="preserve"/>
      </w:r>
    </w:p>
    <w:p>
      <w:pPr>
        <w:pStyle w:val="Heading1"/>
        <w:spacing w:after="160" w:before="300"/>
      </w:pPr>
      <w:r>
        <w:rPr>
          <w:rFonts w:ascii="Arial" w:cs="Arial" w:eastAsia="Arial" w:hAnsi="Arial"/>
          <w:b/>
          <w:bCs/>
          <w:color w:val="1F4E79"/>
          <w:sz w:val="32"/>
          <w:szCs w:val="32"/>
        </w:rPr>
        <w:t xml:space="preserve">5. Conclusión</w:t>
      </w:r>
    </w:p>
    <w:p>
      <w:pPr>
        <w:spacing w:after="120" w:before="120" w:line="276"/>
        <w:jc w:val="both"/>
      </w:pPr>
      <w:r>
        <w:rPr>
          <w:rFonts w:ascii="Arial" w:cs="Arial" w:eastAsia="Arial" w:hAnsi="Arial"/>
          <w:b w:val="false"/>
          <w:bCs w:val="false"/>
          <w:i w:val="false"/>
          <w:iCs w:val="false"/>
          <w:color w:val="000000"/>
          <w:sz w:val="22"/>
          <w:szCs w:val="22"/>
        </w:rPr>
        <w:t xml:space="preserve">El análisis confirma una trayectoria demográfica de desaceleración estructural para Argentina. La TGF superó el umbral de sub-reemplazo en 2019 y no muestra signos de reversión, mientras que el envejecimiento de la población avanza de forma sostenida. Bajo estas condiciones, es esperable que el crecimiento absoluto se detenga antes de 2100, con alta probabilidad de decrecimiento en los escenarios menos favorables.</w:t>
      </w:r>
    </w:p>
    <w:p>
      <w:pPr>
        <w:spacing w:after="120" w:before="120" w:line="276"/>
        <w:jc w:val="both"/>
      </w:pPr>
      <w:r>
        <w:rPr>
          <w:rFonts w:ascii="Arial" w:cs="Arial" w:eastAsia="Arial" w:hAnsi="Arial"/>
          <w:b w:val="false"/>
          <w:bCs w:val="false"/>
          <w:i w:val="false"/>
          <w:iCs w:val="false"/>
          <w:color w:val="000000"/>
          <w:sz w:val="22"/>
          <w:szCs w:val="22"/>
        </w:rPr>
        <w:t xml:space="preserve">Desde el punto de vista metodológico, el experimento de los dos modelos arroja una conclusión relevante: la UDE sin migración recupera implícitamente la señal migratoria dentro del ruido, pero al extrapolarse congela esa corrección en el último valor conocido, sin poder distinguir si corresponde a migración o a otro factor. Cuando la migración se incorpora como término explícito, la extrapolación es más informada y los resultados, más confiables.</w:t>
      </w:r>
    </w:p>
    <w:p>
      <w:pPr>
        <w:spacing w:after="120" w:before="120" w:line="276"/>
        <w:jc w:val="both"/>
      </w:pPr>
      <w:r>
        <w:rPr>
          <w:rFonts w:ascii="Arial" w:cs="Arial" w:eastAsia="Arial" w:hAnsi="Arial"/>
          <w:b w:val="false"/>
          <w:bCs w:val="false"/>
          <w:i w:val="false"/>
          <w:iCs w:val="false"/>
          <w:color w:val="000000"/>
          <w:sz w:val="22"/>
          <w:szCs w:val="22"/>
        </w:rPr>
        <w:t xml:space="preserve">Esto ilustra un principio general del modelado científico con redes neuronales: cuanto más conocimiento previo se codifica en la estructura del modelo, menos depende el resultado de lo que la red aprende en un período corto de entrenamiento. Las UDE son, en este sentido, una herramienta que formaliza ese balance entre conocimiento y aprendizaje.</w:t>
      </w:r>
    </w:p>
    <w:p>
      <w:pPr>
        <w:spacing w:after="120" w:before="120" w:line="276"/>
        <w:jc w:val="both"/>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00"/>
      </w:pPr>
      <w:r>
        <w:rPr>
          <w:rFonts w:ascii="Arial" w:cs="Arial" w:eastAsia="Arial" w:hAnsi="Arial"/>
          <w:b/>
          <w:bCs/>
          <w:color w:val="1F4E79"/>
          <w:sz w:val="32"/>
          <w:szCs w:val="32"/>
        </w:rPr>
        <w:t xml:space="preserve">Referencias</w:t>
      </w:r>
    </w:p>
    <w:p>
      <w:pPr>
        <w:spacing w:after="120" w:before="120" w:line="276"/>
        <w:jc w:val="both"/>
      </w:pPr>
      <w:r>
        <w:rPr>
          <w:rFonts w:ascii="Arial" w:cs="Arial" w:eastAsia="Arial" w:hAnsi="Arial"/>
          <w:b w:val="false"/>
          <w:bCs w:val="false"/>
          <w:i w:val="false"/>
          <w:iCs w:val="false"/>
          <w:color w:val="000000"/>
          <w:sz w:val="22"/>
          <w:szCs w:val="22"/>
        </w:rPr>
        <w:t xml:space="preserve">[1] Rackauckas, C., Ma, Y., Martensen, J., Warner, C., Zubov, K., Supekar, R., Skinner, D., Ramadhan, A., &amp; Edelman, A. (2021). Universal Differential Equations for Scientific Machine Learning. arXiv:2001.04385.</w:t>
      </w:r>
    </w:p>
    <w:p>
      <w:pPr>
        <w:spacing w:after="120" w:before="120" w:line="276"/>
        <w:jc w:val="both"/>
      </w:pPr>
      <w:r>
        <w:rPr>
          <w:rFonts w:ascii="Arial" w:cs="Arial" w:eastAsia="Arial" w:hAnsi="Arial"/>
          <w:b w:val="false"/>
          <w:bCs w:val="false"/>
          <w:i w:val="false"/>
          <w:iCs w:val="false"/>
          <w:color w:val="000000"/>
          <w:sz w:val="22"/>
          <w:szCs w:val="22"/>
        </w:rPr>
        <w:t xml:space="preserve">[2] Instituto Nacional de Estadística y Censos (INDEC) — Dirección de Estadísticas e Información de Salud (DEIS). Estadísticas vitales por provincia, 2012–2022. Disponible en: https://www.indec.gob.ar</w:t>
      </w:r>
    </w:p>
    <w:p>
      <w:pPr>
        <w:spacing w:after="120" w:before="120" w:line="276"/>
        <w:jc w:val="both"/>
      </w:pPr>
      <w:r>
        <w:rPr>
          <w:rFonts w:ascii="Arial" w:cs="Arial" w:eastAsia="Arial" w:hAnsi="Arial"/>
          <w:b w:val="false"/>
          <w:bCs w:val="false"/>
          <w:i w:val="false"/>
          <w:iCs w:val="false"/>
          <w:color w:val="000000"/>
          <w:sz w:val="22"/>
          <w:szCs w:val="22"/>
        </w:rPr>
        <w:t xml:space="preserve">[3] Comisión Económica para América Latina y el Caribe (CEPAL). CEPALSTAT — Tasa de migración neta, Argentina, 1950–2022. Disponible en: https://statistics.cepal.org/portal/cepalstat</w:t>
      </w:r>
    </w:p>
    <w:p>
      <w:pPr>
        <w:spacing w:after="120" w:before="120" w:line="276"/>
        <w:jc w:val="both"/>
      </w:pPr>
      <w:r>
        <w:rPr>
          <w:rFonts w:ascii="Arial" w:cs="Arial" w:eastAsia="Arial" w:hAnsi="Arial"/>
          <w:b w:val="false"/>
          <w:bCs w:val="false"/>
          <w:i w:val="false"/>
          <w:iCs w:val="false"/>
          <w:color w:val="000000"/>
          <w:sz w:val="22"/>
          <w:szCs w:val="22"/>
        </w:rPr>
        <w:t xml:space="preserve">[4] Naciones Unidas, Departamento de Asuntos Económicos y Sociales. World Population Prospects 2024. Disponible en: https://population.un.org/wpp</w:t>
      </w:r>
    </w:p>
    <w:p>
      <w:pPr>
        <w:spacing w:after="120" w:before="120" w:line="276"/>
        <w:jc w:val="both"/>
      </w:pPr>
      <w:r>
        <w:rPr>
          <w:rFonts w:ascii="Arial" w:cs="Arial" w:eastAsia="Arial" w:hAnsi="Arial"/>
          <w:b w:val="false"/>
          <w:bCs w:val="false"/>
          <w:i w:val="false"/>
          <w:iCs w:val="false"/>
          <w:color w:val="000000"/>
          <w:sz w:val="22"/>
          <w:szCs w:val="22"/>
        </w:rPr>
        <w:t xml:space="preserve">[5] González, D. (2024). Proyecciones de población argentina al 2100. Nota técnica, CEPAL/CELADE. Infobae, 12 de agosto de 2024.</w:t>
      </w:r>
    </w:p>
    <w:p>
      <w:pPr>
        <w:spacing w:after="120" w:before="120" w:line="276"/>
        <w:jc w:val="both"/>
      </w:pPr>
      <w:r>
        <w:rPr>
          <w:rFonts w:ascii="Arial" w:cs="Arial" w:eastAsia="Arial" w:hAnsi="Arial"/>
          <w:b w:val="false"/>
          <w:bCs w:val="false"/>
          <w:i w:val="false"/>
          <w:iCs w:val="false"/>
          <w:color w:val="000000"/>
          <w:sz w:val="22"/>
          <w:szCs w:val="22"/>
        </w:rPr>
        <w:t xml:space="preserve">[6] Malthus, T. R. (1798). An Essay on the Principle of Population. J. Johnson, Londres.</w:t>
      </w:r>
    </w:p>
    <w:p>
      <w:pPr>
        <w:spacing w:after="120" w:before="120" w:line="276"/>
        <w:jc w:val="both"/>
      </w:pPr>
      <w:r>
        <w:rPr>
          <w:rFonts w:ascii="Arial" w:cs="Arial" w:eastAsia="Arial" w:hAnsi="Arial"/>
          <w:b w:val="false"/>
          <w:bCs w:val="false"/>
          <w:i w:val="false"/>
          <w:iCs w:val="false"/>
          <w:color w:val="000000"/>
          <w:sz w:val="22"/>
          <w:szCs w:val="22"/>
        </w:rPr>
        <w:t xml:space="preserve">[7] Chen, R. T. Q., Rubanova, Y., Bettencourt, J., &amp; Duvenaud, D. (2018). Neural Ordinary Differential Equations. Advances in Neural Information Processing Systems (NeurIPS 2018). arXiv:1806.07366.</w:t>
      </w:r>
    </w:p>
    <w:p>
      <w:pPr>
        <w:spacing w:after="120" w:before="120" w:line="276"/>
        <w:jc w:val="both"/>
      </w:pPr>
      <w:r>
        <w:rPr>
          <w:rFonts w:ascii="Arial" w:cs="Arial" w:eastAsia="Arial" w:hAnsi="Arial"/>
          <w:b w:val="false"/>
          <w:bCs w:val="false"/>
          <w:i w:val="false"/>
          <w:iCs w:val="false"/>
          <w:color w:val="000000"/>
          <w:sz w:val="22"/>
          <w:szCs w:val="22"/>
        </w:rPr>
        <w:t xml:space="preserve">[8] Paszke, A. et al. (2019). PyTorch: An Imperative Style, High-Performance Deep Learning Library. NeurIPS 2019. Disponible en: https://pytorch.org</w:t>
      </w:r>
    </w:p>
    <w:p>
      <w:pPr>
        <w:spacing w:after="120" w:before="120" w:line="276"/>
        <w:jc w:val="both"/>
      </w:pPr>
      <w:r>
        <w:rPr>
          <w:rFonts w:ascii="Arial" w:cs="Arial" w:eastAsia="Arial" w:hAnsi="Arial"/>
          <w:b w:val="false"/>
          <w:bCs w:val="false"/>
          <w:i w:val="false"/>
          <w:iCs w:val="false"/>
          <w:color w:val="000000"/>
          <w:sz w:val="22"/>
          <w:szCs w:val="22"/>
        </w:rPr>
        <w:t xml:space="preserve">[9] torchdiffeq: ODE solvers with PyTorch autograd support. Repositorio: https://github.com/rtqichen/torchdiffeq</w:t>
      </w:r>
    </w:p>
    <w:p>
      <w:pPr>
        <w:spacing w:after="120" w:before="120" w:line="276"/>
        <w:jc w:val="both"/>
      </w:pPr>
      <w:r>
        <w:rPr>
          <w:rFonts w:ascii="Arial" w:cs="Arial" w:eastAsia="Arial" w:hAnsi="Arial"/>
          <w:b w:val="false"/>
          <w:bCs w:val="false"/>
          <w:i w:val="false"/>
          <w:iCs w:val="false"/>
          <w:color w:val="000000"/>
          <w:sz w:val="22"/>
          <w:szCs w:val="22"/>
        </w:rPr>
        <w:t xml:space="preserve">[10] Argendata — Fundación Fundar. Indicadores de población argentina. Disponible en: https://argendata.fund.ar/topico/poblacion</w:t>
      </w:r>
    </w:p>
    <w:p>
      <w:pPr>
        <w:spacing w:after="120" w:before="120" w:line="276"/>
        <w:jc w:val="both"/>
      </w:pPr>
      <w:r>
        <w:rPr>
          <w:rFonts w:ascii="Arial" w:cs="Arial" w:eastAsia="Arial" w:hAnsi="Arial"/>
          <w:b w:val="false"/>
          <w:bCs w:val="false"/>
          <w:i w:val="false"/>
          <w:iCs w:val="false"/>
          <w:color w:val="000000"/>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Predicción Demográfica Argentina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2026-05-24T22:12:19.847Z</dcterms:created>
  <dcterms:modified xsi:type="dcterms:W3CDTF">2026-05-24T22:12:19.860Z</dcterms:modified>
</cp:coreProperties>
</file>

<file path=docProps/custom.xml><?xml version="1.0" encoding="utf-8"?>
<Properties xmlns="http://schemas.openxmlformats.org/officeDocument/2006/custom-properties" xmlns:vt="http://schemas.openxmlformats.org/officeDocument/2006/docPropsVTypes"/>
</file>