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0" w:name="Cliente"/>
      <w:bookmarkEnd w:id="0"/>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1" w:name="Referencia"/>
      <w:bookmarkEnd w:id="1"/>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2" w:name="Req"/>
      <w:bookmarkEnd w:id="2"/>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3" w:name="dia"/>
      <w:bookmarkEnd w:id="3"/>
      <w:r w:rsidRPr="00C45183">
        <w:rPr>
          <w:rFonts w:cs="Arial"/>
        </w:rPr>
        <w:t xml:space="preserve"> </w:t>
      </w:r>
      <w:r w:rsidR="00552AAE">
        <w:rPr>
          <w:rFonts w:cs="Arial"/>
        </w:rPr>
        <w:t xml:space="preserve">de </w:t>
      </w:r>
      <w:bookmarkStart w:id="4" w:name="mes"/>
      <w:bookmarkEnd w:id="4"/>
      <w:r w:rsidR="00552AAE">
        <w:rPr>
          <w:rFonts w:cs="Arial"/>
        </w:rPr>
        <w:t xml:space="preserve"> de </w:t>
      </w:r>
      <w:bookmarkStart w:id="5" w:name="ano"/>
      <w:bookmarkEnd w:id="5"/>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6" w:name="Cliente2"/>
      <w:bookmarkEnd w:id="6"/>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7" w:name="Usuario"/>
      <w:bookmarkEnd w:id="7"/>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8" w:name="Referencia2"/>
      <w:bookmarkEnd w:id="8"/>
      <w:r w:rsidR="00552AAE">
        <w:rPr>
          <w:rFonts w:cs="Arial"/>
          <w:b/>
        </w:rPr>
        <w:t xml:space="preserve"> - </w:t>
      </w:r>
      <w:bookmarkStart w:id="9" w:name="NroPresupuesto2"/>
      <w:bookmarkEnd w:id="9"/>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0" w:name="Referencia3"/>
      <w:bookmarkEnd w:id="10"/>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1" w:name="NombreUsuario"/>
      <w:bookmarkEnd w:id="11"/>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2" w:name="CelularUsuario"/>
      <w:bookmarkEnd w:id="12"/>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E40D7F" w:rsidP="0053749B">
            <w:pPr>
              <w:tabs>
                <w:tab w:val="center" w:pos="6521"/>
              </w:tabs>
              <w:ind w:left="386"/>
              <w:jc w:val="center"/>
              <w:rPr>
                <w:rFonts w:cs="Arial"/>
                <w:b/>
                <w:szCs w:val="20"/>
              </w:rPr>
            </w:pPr>
            <w:bookmarkStart w:id="13" w:name="NombreUsuario1"/>
            <w:bookmarkEnd w:id="13"/>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E40D7F" w:rsidP="00AA2A94">
            <w:pPr>
              <w:tabs>
                <w:tab w:val="center" w:pos="6521"/>
              </w:tabs>
              <w:ind w:left="386"/>
              <w:jc w:val="center"/>
              <w:rPr>
                <w:rFonts w:cs="Arial"/>
                <w:b/>
                <w:szCs w:val="20"/>
                <w:lang w:val="es-AR"/>
              </w:rPr>
            </w:pPr>
            <w:bookmarkStart w:id="14" w:name="EmailUsuario"/>
            <w:bookmarkEnd w:id="14"/>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lastRenderedPageBreak/>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5" w:name="Referencia4"/>
      <w:bookmarkEnd w:id="15"/>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lastRenderedPageBreak/>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6"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6"/>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7" w:name="_Toc344484052"/>
      <w:bookmarkStart w:id="18" w:name="_Toc347333257"/>
      <w:bookmarkStart w:id="19" w:name="_Toc348540204"/>
      <w:bookmarkStart w:id="20" w:name="_Toc351037073"/>
      <w:bookmarkStart w:id="21" w:name="_Toc352150964"/>
      <w:bookmarkStart w:id="22" w:name="_Toc360205155"/>
      <w:bookmarkStart w:id="23" w:name="_Toc363834707"/>
      <w:bookmarkStart w:id="24" w:name="_Toc364769581"/>
      <w:bookmarkStart w:id="25" w:name="_Toc365475831"/>
      <w:bookmarkStart w:id="26" w:name="_Toc370813194"/>
      <w:bookmarkStart w:id="27"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7"/>
      <w:bookmarkEnd w:id="18"/>
      <w:bookmarkEnd w:id="19"/>
      <w:bookmarkEnd w:id="20"/>
      <w:bookmarkEnd w:id="21"/>
      <w:bookmarkEnd w:id="22"/>
      <w:bookmarkEnd w:id="23"/>
      <w:bookmarkEnd w:id="24"/>
      <w:bookmarkEnd w:id="25"/>
      <w:bookmarkEnd w:id="26"/>
      <w:bookmarkEnd w:id="27"/>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lastRenderedPageBreak/>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8" w:name="LugarEntrega"/>
      <w:bookmarkEnd w:id="28"/>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29" w:name="LugarEntrega2"/>
      <w:bookmarkEnd w:id="29"/>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0" w:name="Garantia"/>
      <w:bookmarkEnd w:id="30"/>
      <w:r w:rsidR="002E5643" w:rsidRPr="00035363">
        <w:rPr>
          <w:rFonts w:cs="Arial"/>
          <w:b/>
          <w:szCs w:val="20"/>
          <w:lang w:val="es-AR"/>
        </w:rPr>
        <w:t xml:space="preserve"> </w:t>
      </w:r>
      <w:r>
        <w:rPr>
          <w:rFonts w:cs="Arial"/>
          <w:b/>
          <w:szCs w:val="20"/>
          <w:lang w:val="es-AR"/>
        </w:rPr>
        <w:t xml:space="preserve"> ( </w:t>
      </w:r>
      <w:bookmarkStart w:id="31" w:name="TextoGarantia"/>
      <w:bookmarkEnd w:id="31"/>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lastRenderedPageBreak/>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lastRenderedPageBreak/>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2" w:name="CodigoMoneda"/>
      <w:bookmarkEnd w:id="32"/>
      <w:r w:rsidRPr="007A4718">
        <w:rPr>
          <w:sz w:val="22"/>
        </w:rPr>
        <w:t xml:space="preserve"> </w:t>
      </w:r>
      <w:r w:rsidR="00BF18E6" w:rsidRPr="007A4718">
        <w:rPr>
          <w:sz w:val="22"/>
        </w:rPr>
        <w:t xml:space="preserve"> </w:t>
      </w:r>
      <w:bookmarkStart w:id="33" w:name="Subtotal"/>
      <w:bookmarkEnd w:id="33"/>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4" w:name="TextoMoneda2"/>
      <w:bookmarkEnd w:id="34"/>
      <w:r w:rsidR="00FC7958">
        <w:rPr>
          <w:sz w:val="22"/>
        </w:rPr>
        <w:t xml:space="preserve">: </w:t>
      </w:r>
      <w:r w:rsidR="00357D63" w:rsidRPr="00A1285C">
        <w:rPr>
          <w:b/>
          <w:sz w:val="22"/>
        </w:rPr>
        <w:t xml:space="preserve"> </w:t>
      </w:r>
      <w:bookmarkStart w:id="35" w:name="TextoPrecio"/>
      <w:bookmarkEnd w:id="35"/>
      <w:r w:rsidR="00357D63" w:rsidRPr="00357D63">
        <w:rPr>
          <w:b/>
          <w:bCs/>
          <w:sz w:val="22"/>
        </w:rPr>
        <w:t>.</w:t>
      </w:r>
      <w:bookmarkStart w:id="36" w:name="_GoBack"/>
      <w:bookmarkEnd w:id="36"/>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bookmarkEnd w:id="39"/>
      <w:r w:rsidR="004A3FB4" w:rsidRPr="004A3FB4">
        <w:rPr>
          <w:rFonts w:cs="Arial"/>
          <w:b/>
          <w:szCs w:val="20"/>
        </w:rPr>
        <w:t xml:space="preserve"> ( </w:t>
      </w:r>
      <w:bookmarkStart w:id="40" w:name="TextoValidezOferta"/>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7038CC" w:rsidP="00662938">
      <w:pPr>
        <w:jc w:val="right"/>
        <w:rPr>
          <w:b/>
          <w:sz w:val="22"/>
        </w:rPr>
      </w:pPr>
      <w:bookmarkStart w:id="41" w:name="NombreUsuario2"/>
      <w:bookmarkEnd w:id="41"/>
    </w:p>
    <w:p w:rsidR="00662938" w:rsidRPr="00662938" w:rsidRDefault="00662938" w:rsidP="00662938">
      <w:pPr>
        <w:jc w:val="right"/>
        <w:rPr>
          <w:b/>
          <w:sz w:val="22"/>
        </w:rPr>
      </w:pPr>
      <w:bookmarkStart w:id="42" w:name="EmailUsuario1"/>
      <w:bookmarkEnd w:id="42"/>
    </w:p>
    <w:p w:rsidR="00DF1D55" w:rsidRDefault="00D80367" w:rsidP="004A3FB4">
      <w:pPr>
        <w:jc w:val="right"/>
      </w:pPr>
      <w:r>
        <w:rPr>
          <w:b/>
          <w:sz w:val="22"/>
        </w:rPr>
        <w:t>SEI S.R.L.</w:t>
      </w:r>
    </w:p>
    <w:sectPr w:rsidR="00DF1D55" w:rsidSect="00662938">
      <w:headerReference w:type="default" r:id="rId10"/>
      <w:footerReference w:type="default" r:id="rId11"/>
      <w:headerReference w:type="first" r:id="rId12"/>
      <w:footerReference w:type="first" r:id="rId13"/>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94" w:rsidRDefault="00003194" w:rsidP="00E40D7F">
      <w:r>
        <w:separator/>
      </w:r>
    </w:p>
  </w:endnote>
  <w:endnote w:type="continuationSeparator" w:id="0">
    <w:p w:rsidR="00003194" w:rsidRDefault="00003194"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A45131">
            <w:rPr>
              <w:rStyle w:val="Nmerodepgina"/>
              <w:noProof/>
              <w:sz w:val="16"/>
              <w:szCs w:val="16"/>
              <w:lang w:val="es-ES_tradnl"/>
            </w:rPr>
            <w:t>7</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A45131">
            <w:rPr>
              <w:rStyle w:val="Nmerodepgina"/>
              <w:noProof/>
              <w:sz w:val="16"/>
              <w:szCs w:val="16"/>
              <w:lang w:val="es-ES_tradnl"/>
            </w:rPr>
            <w:t>8</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94" w:rsidRDefault="00003194" w:rsidP="00E40D7F">
      <w:r>
        <w:separator/>
      </w:r>
    </w:p>
  </w:footnote>
  <w:footnote w:type="continuationSeparator" w:id="0">
    <w:p w:rsidR="00003194" w:rsidRDefault="00003194"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209B0504" wp14:editId="761C25B8">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6E7F"/>
    <w:rsid w:val="002179F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5202"/>
    <w:rsid w:val="00462CC7"/>
    <w:rsid w:val="00465638"/>
    <w:rsid w:val="0047286C"/>
    <w:rsid w:val="00485B47"/>
    <w:rsid w:val="004869D5"/>
    <w:rsid w:val="00486FB9"/>
    <w:rsid w:val="00490AD5"/>
    <w:rsid w:val="004A3FB4"/>
    <w:rsid w:val="004B6FF6"/>
    <w:rsid w:val="004D0593"/>
    <w:rsid w:val="004E32C7"/>
    <w:rsid w:val="004F0949"/>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82764C"/>
    <w:rsid w:val="00831563"/>
    <w:rsid w:val="008329C1"/>
    <w:rsid w:val="00836EA8"/>
    <w:rsid w:val="00837C35"/>
    <w:rsid w:val="00863EB5"/>
    <w:rsid w:val="008C2DB6"/>
    <w:rsid w:val="00906D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E0ACC"/>
    <w:rsid w:val="00B05B0B"/>
    <w:rsid w:val="00B27C0D"/>
    <w:rsid w:val="00B30999"/>
    <w:rsid w:val="00B776D4"/>
    <w:rsid w:val="00BA0318"/>
    <w:rsid w:val="00BE02E6"/>
    <w:rsid w:val="00BE0690"/>
    <w:rsid w:val="00BF18E6"/>
    <w:rsid w:val="00BF70E5"/>
    <w:rsid w:val="00BF7F0E"/>
    <w:rsid w:val="00C02DF1"/>
    <w:rsid w:val="00C840DB"/>
    <w:rsid w:val="00C94C60"/>
    <w:rsid w:val="00CD6261"/>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C74F0"/>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80803-FB1D-4859-ACF5-F6DE37B1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8</Pages>
  <Words>1272</Words>
  <Characters>7000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29</cp:revision>
  <cp:lastPrinted>2016-04-19T11:36:00Z</cp:lastPrinted>
  <dcterms:created xsi:type="dcterms:W3CDTF">2016-10-31T19:46:00Z</dcterms:created>
  <dcterms:modified xsi:type="dcterms:W3CDTF">2017-08-28T16:12:00Z</dcterms:modified>
</cp:coreProperties>
</file>